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988B4">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b w:val="0"/>
          <w:bCs w:val="0"/>
          <w:i w:val="0"/>
          <w:iCs w:val="0"/>
          <w:caps w:val="0"/>
          <w:color w:val="000000"/>
          <w:spacing w:val="0"/>
          <w:kern w:val="44"/>
          <w:sz w:val="32"/>
          <w:szCs w:val="32"/>
          <w:lang w:val="en-US" w:eastAsia="zh-CN" w:bidi="ar"/>
        </w:rPr>
      </w:pPr>
      <w:r>
        <w:rPr>
          <w:rFonts w:hint="eastAsia" w:ascii="黑体" w:hAnsi="黑体" w:eastAsia="黑体" w:cs="黑体"/>
          <w:b w:val="0"/>
          <w:bCs w:val="0"/>
          <w:i w:val="0"/>
          <w:iCs w:val="0"/>
          <w:caps w:val="0"/>
          <w:color w:val="000000"/>
          <w:spacing w:val="0"/>
          <w:kern w:val="44"/>
          <w:sz w:val="32"/>
          <w:szCs w:val="32"/>
          <w:lang w:val="en-US" w:eastAsia="zh-CN" w:bidi="ar"/>
        </w:rPr>
        <w:t>附件</w:t>
      </w:r>
    </w:p>
    <w:p w14:paraId="7B9BE04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i w:val="0"/>
          <w:iCs w:val="0"/>
          <w:caps w:val="0"/>
          <w:color w:val="000000"/>
          <w:spacing w:val="-28"/>
          <w:kern w:val="44"/>
          <w:sz w:val="44"/>
          <w:szCs w:val="44"/>
          <w:lang w:val="en-US" w:eastAsia="zh-CN" w:bidi="ar"/>
        </w:rPr>
      </w:pPr>
    </w:p>
    <w:p w14:paraId="468C74B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44"/>
          <w:sz w:val="44"/>
          <w:szCs w:val="44"/>
          <w:lang w:val="en-US" w:eastAsia="zh-CN" w:bidi="ar"/>
        </w:rPr>
      </w:pPr>
      <w:r>
        <w:rPr>
          <w:rFonts w:hint="eastAsia" w:ascii="方正小标宋简体" w:hAnsi="方正小标宋简体" w:eastAsia="方正小标宋简体" w:cs="方正小标宋简体"/>
          <w:b w:val="0"/>
          <w:bCs w:val="0"/>
          <w:i w:val="0"/>
          <w:iCs w:val="0"/>
          <w:caps w:val="0"/>
          <w:color w:val="000000"/>
          <w:spacing w:val="-28"/>
          <w:kern w:val="44"/>
          <w:sz w:val="44"/>
          <w:szCs w:val="44"/>
          <w:lang w:val="en-US" w:eastAsia="zh-CN" w:bidi="ar"/>
        </w:rPr>
        <w:t>《西藏自治区通信设施建设与保护条例（草案送审稿）》</w:t>
      </w:r>
      <w:r>
        <w:rPr>
          <w:rFonts w:hint="eastAsia" w:ascii="方正小标宋简体" w:hAnsi="方正小标宋简体" w:eastAsia="方正小标宋简体" w:cs="方正小标宋简体"/>
          <w:b w:val="0"/>
          <w:bCs w:val="0"/>
          <w:i w:val="0"/>
          <w:iCs w:val="0"/>
          <w:caps w:val="0"/>
          <w:color w:val="000000"/>
          <w:spacing w:val="0"/>
          <w:kern w:val="44"/>
          <w:sz w:val="44"/>
          <w:szCs w:val="44"/>
          <w:lang w:val="en-US" w:eastAsia="zh-CN" w:bidi="ar"/>
        </w:rPr>
        <w:t>（征求意见稿）</w:t>
      </w:r>
    </w:p>
    <w:p w14:paraId="2E44AC81">
      <w:pPr>
        <w:keepNext w:val="0"/>
        <w:keepLines w:val="0"/>
        <w:pageBreakBefore w:val="0"/>
        <w:kinsoku/>
        <w:overflowPunct/>
        <w:topLinePunct w:val="0"/>
        <w:autoSpaceDE/>
        <w:autoSpaceDN/>
        <w:bidi w:val="0"/>
        <w:adjustRightInd/>
        <w:snapToGrid/>
        <w:spacing w:line="579" w:lineRule="exact"/>
        <w:ind w:leftChars="0"/>
        <w:jc w:val="center"/>
        <w:textAlignment w:val="auto"/>
        <w:rPr>
          <w:rFonts w:hint="eastAsia" w:ascii="黑体" w:hAnsi="黑体" w:eastAsia="黑体" w:cs="黑体"/>
          <w:sz w:val="32"/>
          <w:szCs w:val="32"/>
          <w:lang w:eastAsia="zh-CN"/>
        </w:rPr>
      </w:pPr>
    </w:p>
    <w:p w14:paraId="22DEA428">
      <w:pPr>
        <w:keepNext w:val="0"/>
        <w:keepLines w:val="0"/>
        <w:pageBreakBefore w:val="0"/>
        <w:kinsoku/>
        <w:overflowPunct/>
        <w:topLinePunct w:val="0"/>
        <w:autoSpaceDE/>
        <w:autoSpaceDN/>
        <w:bidi w:val="0"/>
        <w:adjustRightInd/>
        <w:snapToGrid/>
        <w:spacing w:line="579" w:lineRule="exact"/>
        <w:ind w:leftChars="0"/>
        <w:jc w:val="center"/>
        <w:textAlignment w:val="auto"/>
        <w:rPr>
          <w:rFonts w:hint="eastAsia" w:ascii="黑体" w:hAnsi="黑体" w:eastAsia="黑体" w:cs="黑体"/>
          <w:sz w:val="32"/>
          <w:szCs w:val="32"/>
          <w:lang w:eastAsia="zh-CN"/>
        </w:rPr>
      </w:pPr>
    </w:p>
    <w:p w14:paraId="62A84100">
      <w:pPr>
        <w:keepNext w:val="0"/>
        <w:keepLines w:val="0"/>
        <w:pageBreakBefore w:val="0"/>
        <w:kinsoku/>
        <w:overflowPunct/>
        <w:topLinePunct w:val="0"/>
        <w:autoSpaceDE/>
        <w:autoSpaceDN/>
        <w:bidi w:val="0"/>
        <w:adjustRightInd/>
        <w:snapToGrid/>
        <w:spacing w:line="579" w:lineRule="exact"/>
        <w:ind w:lef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录</w:t>
      </w:r>
    </w:p>
    <w:p w14:paraId="568A9A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Chars="0" w:right="0" w:firstLine="640" w:firstLineChars="200"/>
        <w:jc w:val="left"/>
        <w:textAlignment w:val="auto"/>
        <w:rPr>
          <w:rFonts w:hint="eastAsia" w:ascii="黑体" w:hAnsi="黑体" w:eastAsia="黑体" w:cs="黑体"/>
          <w:i w:val="0"/>
          <w:iCs w:val="0"/>
          <w:caps w:val="0"/>
          <w:color w:val="070707"/>
          <w:spacing w:val="0"/>
          <w:sz w:val="32"/>
          <w:szCs w:val="32"/>
        </w:rPr>
      </w:pPr>
    </w:p>
    <w:p w14:paraId="187DA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Chars="0" w:right="0" w:firstLine="640" w:firstLineChars="200"/>
        <w:jc w:val="left"/>
        <w:textAlignment w:val="auto"/>
        <w:rPr>
          <w:rFonts w:hint="eastAsia" w:ascii="黑体" w:hAnsi="黑体" w:eastAsia="黑体" w:cs="黑体"/>
          <w:i w:val="0"/>
          <w:iCs w:val="0"/>
          <w:sz w:val="32"/>
          <w:szCs w:val="32"/>
        </w:rPr>
      </w:pPr>
      <w:r>
        <w:rPr>
          <w:rFonts w:hint="eastAsia" w:ascii="黑体" w:hAnsi="黑体" w:eastAsia="黑体" w:cs="黑体"/>
          <w:i w:val="0"/>
          <w:iCs w:val="0"/>
          <w:caps w:val="0"/>
          <w:color w:val="070707"/>
          <w:spacing w:val="0"/>
          <w:sz w:val="32"/>
          <w:szCs w:val="32"/>
        </w:rPr>
        <w:t>第一章　</w:t>
      </w:r>
      <w:r>
        <w:rPr>
          <w:rFonts w:hint="eastAsia" w:ascii="黑体" w:hAnsi="黑体" w:eastAsia="黑体" w:cs="黑体"/>
          <w:i w:val="0"/>
          <w:iCs w:val="0"/>
          <w:caps w:val="0"/>
          <w:color w:val="070707"/>
          <w:spacing w:val="0"/>
          <w:sz w:val="32"/>
          <w:szCs w:val="32"/>
          <w:lang w:val="en-US" w:eastAsia="zh-CN"/>
        </w:rPr>
        <w:t xml:space="preserve"> </w:t>
      </w:r>
      <w:r>
        <w:rPr>
          <w:rFonts w:hint="eastAsia" w:ascii="黑体" w:hAnsi="黑体" w:eastAsia="黑体" w:cs="黑体"/>
          <w:i w:val="0"/>
          <w:iCs w:val="0"/>
          <w:caps w:val="0"/>
          <w:color w:val="070707"/>
          <w:spacing w:val="0"/>
          <w:sz w:val="32"/>
          <w:szCs w:val="32"/>
        </w:rPr>
        <w:t>总</w:t>
      </w:r>
      <w:r>
        <w:rPr>
          <w:rFonts w:hint="eastAsia" w:ascii="黑体" w:hAnsi="黑体" w:eastAsia="黑体" w:cs="黑体"/>
          <w:i w:val="0"/>
          <w:iCs w:val="0"/>
          <w:caps w:val="0"/>
          <w:color w:val="070707"/>
          <w:spacing w:val="0"/>
          <w:sz w:val="32"/>
          <w:szCs w:val="32"/>
          <w:lang w:val="en-US" w:eastAsia="zh-CN"/>
        </w:rPr>
        <w:t xml:space="preserve">  </w:t>
      </w:r>
      <w:r>
        <w:rPr>
          <w:rFonts w:hint="eastAsia" w:ascii="黑体" w:hAnsi="黑体" w:eastAsia="黑体" w:cs="黑体"/>
          <w:i w:val="0"/>
          <w:iCs w:val="0"/>
          <w:caps w:val="0"/>
          <w:color w:val="070707"/>
          <w:spacing w:val="0"/>
          <w:sz w:val="32"/>
          <w:szCs w:val="32"/>
        </w:rPr>
        <w:t>则</w:t>
      </w:r>
    </w:p>
    <w:p w14:paraId="3C3298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eastAsia" w:ascii="黑体" w:hAnsi="黑体" w:eastAsia="黑体" w:cs="黑体"/>
          <w:i w:val="0"/>
          <w:iCs w:val="0"/>
          <w:sz w:val="32"/>
          <w:szCs w:val="32"/>
          <w:lang w:val="en-US" w:eastAsia="zh-CN"/>
        </w:rPr>
      </w:pPr>
      <w:r>
        <w:rPr>
          <w:rFonts w:hint="eastAsia" w:ascii="黑体" w:hAnsi="黑体" w:eastAsia="黑体" w:cs="黑体"/>
          <w:i w:val="0"/>
          <w:iCs w:val="0"/>
          <w:caps w:val="0"/>
          <w:color w:val="070707"/>
          <w:spacing w:val="0"/>
          <w:sz w:val="32"/>
          <w:szCs w:val="32"/>
        </w:rPr>
        <w:t>第二章　</w:t>
      </w:r>
      <w:r>
        <w:rPr>
          <w:rFonts w:hint="eastAsia" w:ascii="黑体" w:hAnsi="黑体" w:eastAsia="黑体" w:cs="黑体"/>
          <w:i w:val="0"/>
          <w:iCs w:val="0"/>
          <w:caps w:val="0"/>
          <w:color w:val="070707"/>
          <w:spacing w:val="0"/>
          <w:sz w:val="32"/>
          <w:szCs w:val="32"/>
          <w:lang w:val="en-US" w:eastAsia="zh-CN"/>
        </w:rPr>
        <w:t xml:space="preserve"> 规划建设</w:t>
      </w:r>
    </w:p>
    <w:p w14:paraId="133E19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eastAsia" w:ascii="黑体" w:hAnsi="黑体" w:eastAsia="黑体" w:cs="黑体"/>
          <w:i w:val="0"/>
          <w:iCs w:val="0"/>
          <w:sz w:val="32"/>
          <w:szCs w:val="32"/>
          <w:lang w:val="en-US" w:eastAsia="zh-CN"/>
        </w:rPr>
      </w:pPr>
      <w:r>
        <w:rPr>
          <w:rFonts w:hint="eastAsia" w:ascii="黑体" w:hAnsi="黑体" w:eastAsia="黑体" w:cs="黑体"/>
          <w:i w:val="0"/>
          <w:iCs w:val="0"/>
          <w:caps w:val="0"/>
          <w:color w:val="070707"/>
          <w:spacing w:val="0"/>
          <w:sz w:val="32"/>
          <w:szCs w:val="32"/>
        </w:rPr>
        <w:t>第三章　</w:t>
      </w:r>
      <w:r>
        <w:rPr>
          <w:rFonts w:hint="eastAsia" w:ascii="黑体" w:hAnsi="黑体" w:eastAsia="黑体" w:cs="黑体"/>
          <w:i w:val="0"/>
          <w:iCs w:val="0"/>
          <w:caps w:val="0"/>
          <w:color w:val="070707"/>
          <w:spacing w:val="0"/>
          <w:sz w:val="32"/>
          <w:szCs w:val="32"/>
          <w:lang w:val="en-US" w:eastAsia="zh-CN"/>
        </w:rPr>
        <w:t xml:space="preserve"> 管理保护</w:t>
      </w:r>
    </w:p>
    <w:p w14:paraId="122325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eastAsia" w:ascii="黑体" w:hAnsi="黑体" w:eastAsia="黑体" w:cs="黑体"/>
          <w:i w:val="0"/>
          <w:iCs w:val="0"/>
          <w:sz w:val="32"/>
          <w:szCs w:val="32"/>
          <w:lang w:eastAsia="zh-CN"/>
        </w:rPr>
      </w:pPr>
      <w:r>
        <w:rPr>
          <w:rFonts w:hint="eastAsia" w:ascii="黑体" w:hAnsi="黑体" w:eastAsia="黑体" w:cs="黑体"/>
          <w:i w:val="0"/>
          <w:iCs w:val="0"/>
          <w:caps w:val="0"/>
          <w:color w:val="070707"/>
          <w:spacing w:val="0"/>
          <w:sz w:val="32"/>
          <w:szCs w:val="32"/>
        </w:rPr>
        <w:t>第四章　</w:t>
      </w:r>
      <w:r>
        <w:rPr>
          <w:rFonts w:hint="eastAsia" w:ascii="黑体" w:hAnsi="黑体" w:eastAsia="黑体" w:cs="黑体"/>
          <w:i w:val="0"/>
          <w:iCs w:val="0"/>
          <w:caps w:val="0"/>
          <w:color w:val="070707"/>
          <w:spacing w:val="0"/>
          <w:sz w:val="32"/>
          <w:szCs w:val="32"/>
          <w:lang w:val="en-US" w:eastAsia="zh-CN"/>
        </w:rPr>
        <w:t xml:space="preserve"> 法律责任</w:t>
      </w:r>
    </w:p>
    <w:p w14:paraId="441CDF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640" w:firstLineChars="200"/>
        <w:jc w:val="left"/>
        <w:textAlignment w:val="auto"/>
        <w:rPr>
          <w:rFonts w:hint="eastAsia" w:ascii="黑体" w:hAnsi="黑体" w:eastAsia="黑体" w:cs="黑体"/>
          <w:i w:val="0"/>
          <w:iCs w:val="0"/>
          <w:sz w:val="32"/>
          <w:szCs w:val="32"/>
          <w:lang w:val="en-US" w:eastAsia="zh-CN"/>
        </w:rPr>
      </w:pPr>
      <w:r>
        <w:rPr>
          <w:rFonts w:hint="eastAsia" w:ascii="黑体" w:hAnsi="黑体" w:eastAsia="黑体" w:cs="黑体"/>
          <w:i w:val="0"/>
          <w:iCs w:val="0"/>
          <w:caps w:val="0"/>
          <w:color w:val="070707"/>
          <w:spacing w:val="0"/>
          <w:sz w:val="32"/>
          <w:szCs w:val="32"/>
        </w:rPr>
        <w:t>第五章　</w:t>
      </w:r>
      <w:r>
        <w:rPr>
          <w:rFonts w:hint="eastAsia" w:ascii="黑体" w:hAnsi="黑体" w:eastAsia="黑体" w:cs="黑体"/>
          <w:i w:val="0"/>
          <w:iCs w:val="0"/>
          <w:caps w:val="0"/>
          <w:color w:val="070707"/>
          <w:spacing w:val="0"/>
          <w:sz w:val="32"/>
          <w:szCs w:val="32"/>
          <w:lang w:val="en-US" w:eastAsia="zh-CN"/>
        </w:rPr>
        <w:t xml:space="preserve"> 附  则</w:t>
      </w:r>
    </w:p>
    <w:p w14:paraId="3E11E832">
      <w:pPr>
        <w:keepNext w:val="0"/>
        <w:keepLines w:val="0"/>
        <w:pageBreakBefore w:val="0"/>
        <w:kinsoku/>
        <w:overflowPunct/>
        <w:topLinePunct w:val="0"/>
        <w:autoSpaceDE/>
        <w:autoSpaceDN/>
        <w:bidi w:val="0"/>
        <w:adjustRightInd/>
        <w:snapToGrid/>
        <w:spacing w:line="579" w:lineRule="exact"/>
        <w:textAlignment w:val="auto"/>
        <w:rPr>
          <w:rFonts w:hint="eastAsia" w:ascii="仿宋" w:hAnsi="仿宋" w:eastAsia="仿宋" w:cs="仿宋"/>
          <w:sz w:val="32"/>
          <w:szCs w:val="32"/>
        </w:rPr>
      </w:pPr>
    </w:p>
    <w:p w14:paraId="6CF7F5F6">
      <w:pPr>
        <w:keepNext w:val="0"/>
        <w:keepLines w:val="0"/>
        <w:pageBreakBefore w:val="0"/>
        <w:kinsoku/>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14:paraId="50550D8E">
      <w:pPr>
        <w:keepNext w:val="0"/>
        <w:keepLines w:val="0"/>
        <w:pageBreakBefore w:val="0"/>
        <w:kinsoku/>
        <w:overflowPunct/>
        <w:topLinePunct w:val="0"/>
        <w:autoSpaceDE/>
        <w:autoSpaceDN/>
        <w:bidi w:val="0"/>
        <w:adjustRightInd/>
        <w:snapToGrid/>
        <w:spacing w:line="579" w:lineRule="exact"/>
        <w:textAlignment w:val="auto"/>
        <w:rPr>
          <w:rFonts w:hint="eastAsia" w:ascii="仿宋" w:hAnsi="仿宋" w:eastAsia="仿宋" w:cs="仿宋"/>
          <w:sz w:val="32"/>
          <w:szCs w:val="32"/>
        </w:rPr>
      </w:pPr>
    </w:p>
    <w:p w14:paraId="61713CA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rPr>
      </w:pPr>
      <w:r>
        <w:rPr>
          <w:rFonts w:hint="eastAsia" w:ascii="黑体" w:hAnsi="黑体" w:eastAsia="黑体" w:cs="黑体"/>
          <w:b w:val="0"/>
          <w:bCs w:val="0"/>
          <w:color w:val="auto"/>
          <w:sz w:val="32"/>
          <w:szCs w:val="32"/>
          <w:highlight w:val="none"/>
          <w:u w:val="none"/>
        </w:rPr>
        <w:t>第一条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为规范通信设施建设</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保障通信设施安全和通信安全畅通</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根据《中华人民共和国电信条例》及相关法律法规规定</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结合自治区实际</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制定本</w:t>
      </w:r>
      <w:r>
        <w:rPr>
          <w:rFonts w:hint="eastAsia" w:ascii="仿宋" w:hAnsi="仿宋" w:eastAsia="仿宋" w:cs="仿宋"/>
          <w:color w:val="auto"/>
          <w:sz w:val="32"/>
          <w:szCs w:val="32"/>
          <w:u w:val="none"/>
          <w:lang w:eastAsia="zh-CN"/>
        </w:rPr>
        <w:t>条例</w:t>
      </w:r>
      <w:r>
        <w:rPr>
          <w:rFonts w:hint="eastAsia" w:ascii="仿宋" w:hAnsi="仿宋" w:eastAsia="仿宋" w:cs="仿宋"/>
          <w:color w:val="auto"/>
          <w:sz w:val="32"/>
          <w:szCs w:val="32"/>
          <w:u w:val="none"/>
        </w:rPr>
        <w:t>。</w:t>
      </w:r>
    </w:p>
    <w:p w14:paraId="226DAEC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rPr>
      </w:pPr>
      <w:r>
        <w:rPr>
          <w:rFonts w:hint="eastAsia" w:ascii="黑体" w:hAnsi="黑体" w:eastAsia="黑体" w:cs="黑体"/>
          <w:b w:val="0"/>
          <w:bCs w:val="0"/>
          <w:color w:val="auto"/>
          <w:sz w:val="32"/>
          <w:szCs w:val="32"/>
          <w:u w:val="none"/>
        </w:rPr>
        <w:t>第二条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自治区行政区域内通信设施的规划、建设、保护等活动</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适用本</w:t>
      </w:r>
      <w:r>
        <w:rPr>
          <w:rFonts w:hint="eastAsia" w:ascii="仿宋" w:hAnsi="仿宋" w:eastAsia="仿宋" w:cs="仿宋"/>
          <w:color w:val="auto"/>
          <w:sz w:val="32"/>
          <w:szCs w:val="32"/>
          <w:u w:val="none"/>
          <w:lang w:eastAsia="zh-CN"/>
        </w:rPr>
        <w:t>条例</w:t>
      </w:r>
      <w:r>
        <w:rPr>
          <w:rFonts w:hint="eastAsia" w:ascii="仿宋" w:hAnsi="仿宋" w:eastAsia="仿宋" w:cs="仿宋"/>
          <w:color w:val="auto"/>
          <w:sz w:val="32"/>
          <w:szCs w:val="32"/>
          <w:u w:val="none"/>
        </w:rPr>
        <w:t>。</w:t>
      </w:r>
    </w:p>
    <w:p w14:paraId="329E467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color w:val="auto"/>
          <w:sz w:val="32"/>
          <w:szCs w:val="32"/>
          <w:u w:val="none"/>
        </w:rPr>
        <w:t>第三条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本</w:t>
      </w:r>
      <w:r>
        <w:rPr>
          <w:rFonts w:hint="eastAsia" w:ascii="仿宋" w:hAnsi="仿宋" w:eastAsia="仿宋" w:cs="仿宋"/>
          <w:color w:val="auto"/>
          <w:sz w:val="32"/>
          <w:szCs w:val="32"/>
          <w:u w:val="none"/>
          <w:lang w:eastAsia="zh-CN"/>
        </w:rPr>
        <w:t>条例</w:t>
      </w:r>
      <w:r>
        <w:rPr>
          <w:rFonts w:hint="eastAsia" w:ascii="仿宋" w:hAnsi="仿宋" w:eastAsia="仿宋" w:cs="仿宋"/>
          <w:color w:val="auto"/>
          <w:sz w:val="32"/>
          <w:szCs w:val="32"/>
          <w:u w:val="none"/>
        </w:rPr>
        <w:t>所称</w:t>
      </w:r>
      <w:r>
        <w:rPr>
          <w:rFonts w:hint="eastAsia" w:ascii="仿宋" w:hAnsi="仿宋" w:eastAsia="仿宋" w:cs="仿宋"/>
          <w:sz w:val="32"/>
          <w:szCs w:val="32"/>
        </w:rPr>
        <w:t>通信设施，是指为公共组织和社会公众提供通信服务并实现通信功能的通信交换设备、通信传输设备和通信配套设施，包括交换机、服务器、数据存储设备、通信光（电）缆、通信管道、通信杆（塔）、发射天线、保护地线、通信分线箱（盒）、通信交接箱（间）、移动通信基站、通信机房、供电设备</w:t>
      </w:r>
      <w:r>
        <w:rPr>
          <w:rFonts w:hint="eastAsia" w:ascii="仿宋" w:hAnsi="仿宋" w:eastAsia="仿宋" w:cs="仿宋"/>
          <w:sz w:val="32"/>
          <w:szCs w:val="32"/>
          <w:lang w:eastAsia="zh-CN"/>
        </w:rPr>
        <w:t>（</w:t>
      </w:r>
      <w:r>
        <w:rPr>
          <w:rFonts w:hint="eastAsia" w:ascii="仿宋" w:hAnsi="仿宋" w:eastAsia="仿宋" w:cs="仿宋"/>
          <w:sz w:val="32"/>
          <w:szCs w:val="32"/>
        </w:rPr>
        <w:t>太阳能设备等</w:t>
      </w:r>
      <w:r>
        <w:rPr>
          <w:rFonts w:hint="eastAsia" w:ascii="仿宋" w:hAnsi="仿宋" w:eastAsia="仿宋" w:cs="仿宋"/>
          <w:sz w:val="32"/>
          <w:szCs w:val="32"/>
          <w:lang w:eastAsia="zh-CN"/>
        </w:rPr>
        <w:t>）</w:t>
      </w:r>
      <w:r>
        <w:rPr>
          <w:rFonts w:hint="eastAsia" w:ascii="仿宋" w:hAnsi="仿宋" w:eastAsia="仿宋" w:cs="仿宋"/>
          <w:sz w:val="32"/>
          <w:szCs w:val="32"/>
        </w:rPr>
        <w:t>、室内分布系统等。</w:t>
      </w:r>
    </w:p>
    <w:p w14:paraId="3EA4FD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附挂通信设施的电力、广播电视和交通设施，除适用电力、广播电视和交通相关法律、法规的规定外，同时适用</w:t>
      </w:r>
      <w:r>
        <w:rPr>
          <w:rFonts w:hint="eastAsia" w:ascii="仿宋" w:hAnsi="仿宋" w:eastAsia="仿宋" w:cs="仿宋"/>
          <w:color w:val="auto"/>
          <w:sz w:val="32"/>
          <w:szCs w:val="32"/>
          <w:u w:val="none"/>
        </w:rPr>
        <w:t>本</w:t>
      </w:r>
      <w:r>
        <w:rPr>
          <w:rFonts w:hint="eastAsia" w:ascii="仿宋" w:hAnsi="仿宋" w:eastAsia="仿宋" w:cs="仿宋"/>
          <w:color w:val="auto"/>
          <w:sz w:val="32"/>
          <w:szCs w:val="32"/>
          <w:u w:val="none"/>
          <w:lang w:eastAsia="zh-CN"/>
        </w:rPr>
        <w:t>条例</w:t>
      </w:r>
      <w:r>
        <w:rPr>
          <w:rFonts w:hint="eastAsia" w:ascii="仿宋" w:hAnsi="仿宋" w:eastAsia="仿宋" w:cs="仿宋"/>
          <w:sz w:val="32"/>
          <w:szCs w:val="32"/>
        </w:rPr>
        <w:t>。</w:t>
      </w:r>
    </w:p>
    <w:p w14:paraId="09A5DF0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通信设施的建设与保护活动应当遵循统筹规划、保护生态、破除垄断、共建共享和合理利用资源的原则。</w:t>
      </w:r>
    </w:p>
    <w:p w14:paraId="0F6A3C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加强对通信设施规划、建设与保护工作的组织领导，建立组织协调机制，统筹协调解决通信设施规划、建设与保护工作中的重大问题，并将通信设施保护工作纳入社会治安综合治理考核范围和公共机构巡查范围。</w:t>
      </w:r>
    </w:p>
    <w:p w14:paraId="2B7E2B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乡（镇）人民政府、街道办事处和村（居）民委员会应当配合做好通信设施建设和保护工作。</w:t>
      </w:r>
    </w:p>
    <w:p w14:paraId="566AEEE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自治区通信管理机构负责全区通信设施规划、建设与保护的组织协调、监督管理工作。自治区通信管理机构设立的派出机构根据职责行使监督管理职能。</w:t>
      </w:r>
    </w:p>
    <w:p w14:paraId="293DAA1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自治区发展改革、</w:t>
      </w:r>
      <w:r>
        <w:rPr>
          <w:rFonts w:hint="eastAsia" w:ascii="仿宋" w:hAnsi="仿宋" w:eastAsia="仿宋" w:cs="仿宋"/>
          <w:sz w:val="32"/>
          <w:szCs w:val="32"/>
          <w:lang w:val="en-US" w:eastAsia="zh-CN"/>
        </w:rPr>
        <w:t>经济和信息化、公安、国家安全、财政、自然资源、生态环境、住房城乡建设、交通运输、电力等相关部门应当按照各自职责，依法做好通信设施规划、建设与保护的相关工作。</w:t>
      </w:r>
    </w:p>
    <w:p w14:paraId="24E1558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通信设施建设者和通信业务经营者应当加强通信设施的管理和保护，保障通信设施建设工程质量和运行安全，履行通信设施保护义务。</w:t>
      </w:r>
    </w:p>
    <w:p w14:paraId="6F05FF0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第九条</w:t>
      </w:r>
      <w:r>
        <w:rPr>
          <w:rFonts w:hint="eastAsia" w:ascii="仿宋" w:hAnsi="仿宋" w:eastAsia="仿宋" w:cs="仿宋"/>
          <w:b w:val="0"/>
          <w:bCs w:val="0"/>
          <w:color w:val="auto"/>
          <w:sz w:val="32"/>
          <w:szCs w:val="32"/>
          <w:u w:val="none"/>
          <w:lang w:val="en-US" w:eastAsia="zh-CN"/>
        </w:rPr>
        <w:t xml:space="preserve">  电信业务经营者应当按照国家有关规定履行电信普遍服务义务，并根据经济建设、社会管理和群众生活需要，完善农牧地区、偏远地区、少数民族地区、边境地区的电信设施建设。</w:t>
      </w:r>
    </w:p>
    <w:p w14:paraId="05DCBC6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各市（地）政府（行署）及相关部门应当为电信普遍服务提供便利条件，在选址、建设、成本补偿、用地、用电等方面依法给予保障。</w:t>
      </w:r>
    </w:p>
    <w:p w14:paraId="0158101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eastAsia="zh-CN"/>
        </w:rPr>
        <w:t>十</w:t>
      </w:r>
      <w:r>
        <w:rPr>
          <w:rFonts w:hint="eastAsia" w:ascii="黑体" w:hAnsi="黑体" w:eastAsia="黑体" w:cs="黑体"/>
          <w:b w:val="0"/>
          <w:bCs w:val="0"/>
          <w:color w:val="auto"/>
          <w:sz w:val="32"/>
          <w:szCs w:val="32"/>
          <w:u w:val="none"/>
        </w:rPr>
        <w:t>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通信设施</w:t>
      </w:r>
      <w:r>
        <w:rPr>
          <w:rFonts w:hint="eastAsia" w:ascii="方正仿宋_GB2312" w:hAnsi="方正仿宋_GB2312" w:eastAsia="方正仿宋_GB2312" w:cs="方正仿宋_GB2312"/>
          <w:color w:val="auto"/>
          <w:sz w:val="32"/>
          <w:szCs w:val="32"/>
          <w:u w:val="none"/>
          <w:lang w:eastAsia="zh"/>
        </w:rPr>
        <w:t>属于</w:t>
      </w:r>
      <w:r>
        <w:rPr>
          <w:rFonts w:hint="eastAsia" w:ascii="方正仿宋_GB2312" w:hAnsi="方正仿宋_GB2312" w:eastAsia="方正仿宋_GB2312" w:cs="方正仿宋_GB2312"/>
          <w:color w:val="auto"/>
          <w:sz w:val="32"/>
          <w:szCs w:val="32"/>
          <w:u w:val="none"/>
        </w:rPr>
        <w:t>战略性、基础性、先导性关键公共基础设施，受法律保护</w:t>
      </w:r>
      <w:r>
        <w:rPr>
          <w:rFonts w:hint="eastAsia" w:ascii="仿宋" w:hAnsi="仿宋" w:eastAsia="仿宋" w:cs="仿宋"/>
          <w:color w:val="auto"/>
          <w:sz w:val="32"/>
          <w:szCs w:val="32"/>
          <w:u w:val="none"/>
        </w:rPr>
        <w:t>。任何单位和个人不得阻碍依法进行的通信设施建设活动，不得破坏在建和已建的通信设施；对危害通信设施安全的行为，有权制止并及时向公安机关、通信管理机构或者相关通信设施产权人、使用人、管理人举报。</w:t>
      </w:r>
    </w:p>
    <w:p w14:paraId="126C0DF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黑体" w:hAnsi="黑体" w:eastAsia="黑体" w:cs="黑体"/>
          <w:b w:val="0"/>
          <w:bCs w:val="0"/>
          <w:color w:val="auto"/>
          <w:sz w:val="32"/>
          <w:szCs w:val="32"/>
          <w:u w:val="none"/>
          <w:lang w:eastAsia="zh-CN"/>
        </w:rPr>
        <w:t>第十一条</w:t>
      </w:r>
      <w:r>
        <w:rPr>
          <w:rFonts w:hint="eastAsia" w:ascii="仿宋" w:hAnsi="仿宋" w:eastAsia="仿宋" w:cs="仿宋"/>
          <w:color w:val="auto"/>
          <w:sz w:val="32"/>
          <w:szCs w:val="32"/>
          <w:u w:val="none"/>
          <w:lang w:val="en-US" w:eastAsia="zh-CN"/>
        </w:rPr>
        <w:t xml:space="preserve">  县级以上人民政府有关部门、电信业务经营者、新闻媒体等应当通过多种形式，普及电信设施建设与保护法律、法规和电信设施安全、电磁辐射等知识，增强社会公众对电信设施的保护意识。</w:t>
      </w:r>
    </w:p>
    <w:p w14:paraId="7AE6DFE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p>
    <w:p w14:paraId="4823A06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规划建设</w:t>
      </w:r>
    </w:p>
    <w:p w14:paraId="25820D8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bookmarkStart w:id="2" w:name="_GoBack"/>
      <w:bookmarkEnd w:id="2"/>
    </w:p>
    <w:p w14:paraId="0C0647A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 w:hAnsi="仿宋" w:eastAsia="仿宋" w:cs="仿宋"/>
          <w:sz w:val="32"/>
          <w:szCs w:val="32"/>
          <w:lang w:val="en-US"/>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县级以上人民政府应当将通信设施建设规划纳入本行政区域国民经济和社会发展规划</w:t>
      </w:r>
      <w:r>
        <w:rPr>
          <w:rFonts w:hint="eastAsia" w:ascii="仿宋" w:hAnsi="仿宋" w:eastAsia="仿宋" w:cs="仿宋"/>
          <w:sz w:val="32"/>
          <w:szCs w:val="32"/>
          <w:lang w:eastAsia="zh-CN"/>
        </w:rPr>
        <w:t>与国土空间规划。</w:t>
      </w:r>
    </w:p>
    <w:p w14:paraId="0E3F882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自治区通信管理机构应当编制全区通信行业发展规划，报自治区人民政府批准后实施；组织协调通信设施的统一建设，推进落实行业内通信设施的共建共享，鼓励行业外有关单位实行共建共享。</w:t>
      </w:r>
    </w:p>
    <w:p w14:paraId="6D92297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县级以上人民政府城乡规划主管部门在编制城乡规划时，应当编写通信工程规划章节，并征求通信管理机构的意见。</w:t>
      </w:r>
    </w:p>
    <w:p w14:paraId="50B2A4E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通信业务经营者编制的企业发展规划，应当符合城乡规划、地下管线综合规划、通信行业发展规划和有关专项规划。</w:t>
      </w:r>
    </w:p>
    <w:p w14:paraId="4824D81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黑体" w:hAnsi="黑体" w:eastAsia="黑体" w:cs="黑体"/>
          <w:b w:val="0"/>
          <w:bCs w:val="0"/>
          <w:color w:val="auto"/>
          <w:sz w:val="32"/>
          <w:szCs w:val="32"/>
          <w:u w:val="none"/>
        </w:rPr>
        <w:t>第十</w:t>
      </w:r>
      <w:r>
        <w:rPr>
          <w:rFonts w:hint="eastAsia" w:ascii="黑体" w:hAnsi="黑体" w:eastAsia="黑体" w:cs="黑体"/>
          <w:b w:val="0"/>
          <w:bCs w:val="0"/>
          <w:color w:val="auto"/>
          <w:sz w:val="32"/>
          <w:szCs w:val="32"/>
          <w:u w:val="none"/>
          <w:lang w:eastAsia="zh-CN"/>
        </w:rPr>
        <w:t>五</w:t>
      </w:r>
      <w:r>
        <w:rPr>
          <w:rFonts w:hint="eastAsia" w:ascii="黑体" w:hAnsi="黑体" w:eastAsia="黑体" w:cs="黑体"/>
          <w:b w:val="0"/>
          <w:bCs w:val="0"/>
          <w:color w:val="auto"/>
          <w:sz w:val="32"/>
          <w:szCs w:val="32"/>
          <w:u w:val="none"/>
        </w:rPr>
        <w:t>条</w:t>
      </w:r>
      <w:r>
        <w:rPr>
          <w:rFonts w:hint="eastAsia" w:ascii="仿宋" w:hAnsi="仿宋" w:eastAsia="仿宋" w:cs="仿宋"/>
          <w:color w:val="auto"/>
          <w:sz w:val="32"/>
          <w:szCs w:val="32"/>
          <w:u w:val="none"/>
          <w:lang w:val="en-US" w:eastAsia="zh-CN"/>
        </w:rPr>
        <w:t xml:space="preserve">  新建下列建设项目，应当同步规划建设通信设施：</w:t>
      </w:r>
    </w:p>
    <w:p w14:paraId="4FFD296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（一）城市道路、轨道交通、公路、铁路、桥梁、隧道等公共交通建设项目；</w:t>
      </w:r>
    </w:p>
    <w:p w14:paraId="0690D0B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（二）开发区、自然保护区、风景名胜区、旅游景区等园区；</w:t>
      </w:r>
    </w:p>
    <w:p w14:paraId="3E0750D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（三）公共机构、学校、医院、广场、公园、文化体育场馆、机场、车站、港口、码头等公共服务和办公场所；</w:t>
      </w:r>
    </w:p>
    <w:p w14:paraId="7D34359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（四）商用建筑、住宅小区等。</w:t>
      </w:r>
    </w:p>
    <w:p w14:paraId="21FFFD7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（五）法律、法规规定的其他建设项目或者场所。</w:t>
      </w:r>
    </w:p>
    <w:p w14:paraId="1E681F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通信配套设施应当与项目主体工程同步规划、同步设计、同步施工、同步验收。</w:t>
      </w:r>
    </w:p>
    <w:p w14:paraId="0A95B7A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有关部门或者单位应当事先通知通信管理机构，预留通信管线、室内分布系统、基站等设施的接入通道、建设位置、建设空间及配套资源。</w:t>
      </w:r>
    </w:p>
    <w:p w14:paraId="1A7284B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 w:hAnsi="仿宋" w:eastAsia="仿宋" w:cs="仿宋"/>
          <w:color w:val="auto"/>
          <w:sz w:val="32"/>
          <w:szCs w:val="32"/>
          <w:u w:val="none"/>
          <w:lang w:val="en-US" w:eastAsia="zh-CN"/>
        </w:rPr>
      </w:pPr>
      <w:r>
        <w:rPr>
          <w:rFonts w:hint="default" w:ascii="仿宋" w:hAnsi="仿宋" w:eastAsia="仿宋" w:cs="仿宋"/>
          <w:color w:val="auto"/>
          <w:sz w:val="32"/>
          <w:szCs w:val="32"/>
          <w:u w:val="none"/>
          <w:lang w:val="en-US" w:eastAsia="zh-CN"/>
        </w:rPr>
        <w:t>存在通信网络覆盖需求且需要建设通信设施的改建、扩建建设项目，按照第一款、第二款、第三款规定执行。</w:t>
      </w:r>
    </w:p>
    <w:p w14:paraId="54A32E6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color w:val="auto"/>
          <w:sz w:val="32"/>
          <w:szCs w:val="32"/>
          <w:u w:val="none"/>
        </w:rPr>
        <w:t>第十</w:t>
      </w:r>
      <w:r>
        <w:rPr>
          <w:rFonts w:hint="eastAsia" w:ascii="黑体" w:hAnsi="黑体" w:eastAsia="黑体" w:cs="黑体"/>
          <w:b w:val="0"/>
          <w:bCs w:val="0"/>
          <w:color w:val="auto"/>
          <w:sz w:val="32"/>
          <w:szCs w:val="32"/>
          <w:u w:val="none"/>
          <w:lang w:eastAsia="zh-CN"/>
        </w:rPr>
        <w:t>六</w:t>
      </w:r>
      <w:r>
        <w:rPr>
          <w:rFonts w:hint="eastAsia" w:ascii="黑体" w:hAnsi="黑体" w:eastAsia="黑体" w:cs="黑体"/>
          <w:b w:val="0"/>
          <w:bCs w:val="0"/>
          <w:color w:val="auto"/>
          <w:sz w:val="32"/>
          <w:szCs w:val="32"/>
          <w:u w:val="none"/>
        </w:rPr>
        <w:t>条</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通信设施的建设应当遵守有关法律、法规的规定，执行国家通信工程建设强制性标准，并符合安全生产、环境保护、节能减排、防灾减灾、城镇地下综合管廊（沟）建设管理的要求。</w:t>
      </w:r>
    </w:p>
    <w:p w14:paraId="2D4C520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 w:hAnsi="仿宋" w:eastAsia="仿宋" w:cs="仿宋"/>
          <w:color w:val="FF0000"/>
          <w:sz w:val="32"/>
          <w:szCs w:val="32"/>
          <w:u w:val="single"/>
          <w:lang w:val="en-US" w:eastAsia="zh-CN"/>
        </w:rPr>
      </w:pPr>
      <w:r>
        <w:rPr>
          <w:rFonts w:hint="eastAsia" w:ascii="黑体" w:hAnsi="黑体" w:eastAsia="黑体" w:cs="黑体"/>
          <w:color w:val="auto"/>
          <w:sz w:val="32"/>
          <w:szCs w:val="32"/>
          <w:u w:val="none"/>
          <w:lang w:val="en-US" w:eastAsia="zh-CN"/>
        </w:rPr>
        <w:t>第十七条</w:t>
      </w:r>
      <w:r>
        <w:rPr>
          <w:rFonts w:hint="eastAsia" w:ascii="仿宋" w:hAnsi="仿宋" w:eastAsia="仿宋" w:cs="仿宋"/>
          <w:color w:val="auto"/>
          <w:sz w:val="32"/>
          <w:szCs w:val="32"/>
          <w:u w:val="none"/>
          <w:lang w:val="en-US" w:eastAsia="zh-CN"/>
        </w:rPr>
        <w:t xml:space="preserve">  </w:t>
      </w:r>
      <w:r>
        <w:rPr>
          <w:rFonts w:hint="default" w:ascii="仿宋" w:hAnsi="仿宋" w:eastAsia="仿宋" w:cs="仿宋"/>
          <w:color w:val="auto"/>
          <w:sz w:val="32"/>
          <w:szCs w:val="32"/>
          <w:u w:val="none"/>
          <w:lang w:val="en-US" w:eastAsia="zh-CN"/>
        </w:rPr>
        <w:t>从事通信设施建设的勘察、设计、施工、监理等单位和人员，应当依法取得相应的资质和资格，并在资质和资格规定的等级范围内从事相关活动。</w:t>
      </w:r>
    </w:p>
    <w:p w14:paraId="59EEE60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信设施的建设项目应当与当地自然环境、城乡建设风貌相协调，依法开展环境影响评价，并满足国家电磁辐射环境控制限值。在自然保护、风景名胜和历史文化、文物保护等区域内建设通信设施，应当采取美化或者隐蔽措施。</w:t>
      </w:r>
    </w:p>
    <w:p w14:paraId="5C8E033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通信设施建设项目应当按照国家和自治区有关规定办理相关手续，符合开工条件后方可组织实施。</w:t>
      </w:r>
    </w:p>
    <w:p w14:paraId="31EFC07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w:t>
      </w:r>
      <w:r>
        <w:rPr>
          <w:rFonts w:hint="eastAsia" w:ascii="仿宋" w:hAnsi="仿宋" w:eastAsia="仿宋" w:cs="仿宋"/>
          <w:sz w:val="32"/>
          <w:szCs w:val="32"/>
          <w:lang w:eastAsia="zh-CN"/>
        </w:rPr>
        <w:t>生态环境</w:t>
      </w:r>
      <w:r>
        <w:rPr>
          <w:rFonts w:hint="eastAsia" w:ascii="仿宋" w:hAnsi="仿宋" w:eastAsia="仿宋" w:cs="仿宋"/>
          <w:sz w:val="32"/>
          <w:szCs w:val="32"/>
        </w:rPr>
        <w:t>行政主管部门依法对通信设施电磁辐射环境保护工作实施统一监督管理，通信基站的电磁辐射应当符合国家标准。</w:t>
      </w:r>
    </w:p>
    <w:p w14:paraId="3111F7F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信设施建设使用单位应当委托具备资质的机构对电磁辐射有争议的移动通信基站进行检测，检测结果应当在基站建设范围内公示，机构出具的检测报告应当向社会公开。公民、法人和其他组织对检测结果有异议的，可以向</w:t>
      </w:r>
      <w:r>
        <w:rPr>
          <w:rFonts w:hint="eastAsia" w:ascii="仿宋" w:hAnsi="仿宋" w:eastAsia="仿宋" w:cs="仿宋"/>
          <w:sz w:val="32"/>
          <w:szCs w:val="32"/>
          <w:lang w:eastAsia="zh-CN"/>
        </w:rPr>
        <w:t>生态环境</w:t>
      </w:r>
      <w:r>
        <w:rPr>
          <w:rFonts w:hint="eastAsia" w:ascii="仿宋" w:hAnsi="仿宋" w:eastAsia="仿宋" w:cs="仿宋"/>
          <w:sz w:val="32"/>
          <w:szCs w:val="32"/>
        </w:rPr>
        <w:t>行政主管部门投诉。</w:t>
      </w:r>
    </w:p>
    <w:p w14:paraId="7E60174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通信设施建设单位可以根据实际需要</w:t>
      </w:r>
      <w:r>
        <w:rPr>
          <w:rFonts w:hint="eastAsia" w:ascii="仿宋" w:hAnsi="仿宋" w:eastAsia="仿宋" w:cs="仿宋"/>
          <w:sz w:val="32"/>
          <w:szCs w:val="32"/>
          <w:lang w:eastAsia="zh-CN"/>
        </w:rPr>
        <w:t>，</w:t>
      </w:r>
      <w:r>
        <w:rPr>
          <w:rFonts w:hint="eastAsia" w:ascii="仿宋" w:hAnsi="仿宋" w:eastAsia="仿宋" w:cs="仿宋"/>
          <w:sz w:val="32"/>
          <w:szCs w:val="32"/>
        </w:rPr>
        <w:t>在规划确定的建设站址半径三百米范围内修正站址，修正后的站址应当满足国家标准电磁环境控制限值。</w:t>
      </w:r>
    </w:p>
    <w:p w14:paraId="6135B17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二十一</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供电部门应当为通信设施运行提供连续可靠供电，并按当地收费标准合理收取费用；遇有特殊情况无法供电的，应当按照规定提前通知通信设施产权人、使用人、管理人，并在符合恢复供电条件后及时恢复供电，保障通信网络安全畅通。</w:t>
      </w:r>
    </w:p>
    <w:p w14:paraId="0F4E252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二十二</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新建、改建、扩建办公和商用楼宇、居民住宅小区等城镇民用建筑，建设单位应当执行</w:t>
      </w:r>
      <w:r>
        <w:rPr>
          <w:rFonts w:hint="eastAsia" w:ascii="仿宋" w:hAnsi="仿宋" w:eastAsia="仿宋" w:cs="仿宋"/>
          <w:sz w:val="32"/>
          <w:szCs w:val="32"/>
          <w:lang w:eastAsia="zh-CN"/>
        </w:rPr>
        <w:t>国家强制性标准和规范，并同步配建通信设施，建设项目提供的配套通信设施应当为通信业务经营者提供平等的接入条件，并满足多家通信业务经营者共享使用的需求，不得与通信业务经营者签订具有排他性条款的协议，阻碍其他通信业务经营者提供服务，限制用户的平等选择权。</w:t>
      </w:r>
    </w:p>
    <w:p w14:paraId="245FFEB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物业服务企业应当为已建住宅光纤到户改造提供便利条件，</w:t>
      </w:r>
      <w:r>
        <w:rPr>
          <w:rFonts w:hint="eastAsia" w:ascii="仿宋" w:hAnsi="仿宋" w:eastAsia="仿宋" w:cs="仿宋"/>
          <w:sz w:val="32"/>
          <w:szCs w:val="32"/>
        </w:rPr>
        <w:t>不得与通信业务经营者签订具有排他性条款的协议。</w:t>
      </w:r>
    </w:p>
    <w:p w14:paraId="16C7186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自治区通信管理机构依法对通信设施工程质量进行监督管理，对未按照要求验收或者验收不合格的，不得接入公用通信网。</w:t>
      </w:r>
    </w:p>
    <w:p w14:paraId="7D9E7E8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在政府投资建设公共场所、公共区域建设通信设施的，其管理者应当无偿提供通信设施建设必要的场地和接入的便利条件。</w:t>
      </w:r>
    </w:p>
    <w:p w14:paraId="1730E56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黑体" w:hAnsi="黑体" w:eastAsia="黑体" w:cs="黑体"/>
          <w:b w:val="0"/>
          <w:bCs w:val="0"/>
          <w:color w:val="auto"/>
          <w:sz w:val="32"/>
          <w:szCs w:val="32"/>
          <w:u w:val="none"/>
          <w:lang w:eastAsia="zh-CN"/>
        </w:rPr>
        <w:t>第二十四条</w:t>
      </w:r>
      <w:r>
        <w:rPr>
          <w:rFonts w:hint="eastAsia" w:ascii="黑体" w:hAnsi="黑体" w:eastAsia="黑体" w:cs="黑体"/>
          <w:b w:val="0"/>
          <w:bCs w:val="0"/>
          <w:color w:val="auto"/>
          <w:sz w:val="32"/>
          <w:szCs w:val="32"/>
          <w:u w:val="none"/>
          <w:lang w:val="en-US" w:eastAsia="zh-CN"/>
        </w:rPr>
        <w:t xml:space="preserve"> </w:t>
      </w:r>
      <w:r>
        <w:rPr>
          <w:rFonts w:hint="eastAsia" w:ascii="仿宋" w:hAnsi="仿宋" w:eastAsia="仿宋" w:cs="仿宋"/>
          <w:color w:val="auto"/>
          <w:sz w:val="32"/>
          <w:szCs w:val="32"/>
          <w:u w:val="none"/>
          <w:lang w:val="en-US" w:eastAsia="zh-CN"/>
        </w:rPr>
        <w:t xml:space="preserve"> 通信线路通过或者跨越公路、铁路、河道、桥梁、涵道、地下通道、城市道路、城市管网、电力管网、城市绿化带等公共设施的，由建设单位与相关单位进行协商，依法办理相关手续。施工应当符合相关行业的建设安全要求，相关单位应当提供便利。</w:t>
      </w:r>
    </w:p>
    <w:p w14:paraId="4C95F79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通信设施需要使用民用建筑物、构筑物或者其顶部空间的，应当符合环境保护规定，并事先告知该建筑物、构筑物产权人或者其他权利人。</w:t>
      </w:r>
    </w:p>
    <w:p w14:paraId="1357EB1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相关经济补偿事宜由通信设施建设者与该建筑物、构筑物产权人或者其他权利人协商确定。</w:t>
      </w:r>
    </w:p>
    <w:p w14:paraId="7088714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rPr>
      </w:pPr>
      <w:r>
        <w:rPr>
          <w:rFonts w:hint="eastAsia" w:ascii="黑体" w:hAnsi="黑体" w:eastAsia="黑体" w:cs="黑体"/>
          <w:color w:val="auto"/>
          <w:sz w:val="32"/>
          <w:szCs w:val="32"/>
          <w:u w:val="none"/>
          <w:lang w:eastAsia="zh-CN"/>
        </w:rPr>
        <w:t>第二十六条</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32"/>
          <w:szCs w:val="32"/>
          <w:u w:val="none"/>
        </w:rPr>
        <w:t>通信设施建设需要征收土地的，依照土地管理法律法规规定办理有关手续，并按照规定支付相应的补偿费用；通信杆、塔、管道等通信设施建设不需要办理征地手续的，应当与集体土地所有权人、土地承包经营权人或者土地使用权人协商确定，并给予相应经济补偿，补偿标准按照当地人民政府制定的标准执行。</w:t>
      </w:r>
    </w:p>
    <w:p w14:paraId="4A170CC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u w:val="none"/>
        </w:rPr>
      </w:pPr>
      <w:r>
        <w:rPr>
          <w:rFonts w:hint="eastAsia" w:ascii="方正仿宋_GB2312" w:hAnsi="方正仿宋_GB2312" w:eastAsia="方正仿宋_GB2312" w:cs="方正仿宋_GB2312"/>
          <w:color w:val="auto"/>
          <w:sz w:val="32"/>
          <w:szCs w:val="32"/>
          <w:u w:val="none"/>
          <w:lang w:eastAsia="zh-CN" w:bidi="ar"/>
        </w:rPr>
        <w:t>通</w:t>
      </w:r>
      <w:r>
        <w:rPr>
          <w:rFonts w:hint="eastAsia" w:ascii="方正仿宋_GB2312" w:hAnsi="方正仿宋_GB2312" w:eastAsia="方正仿宋_GB2312" w:cs="方正仿宋_GB2312"/>
          <w:color w:val="auto"/>
          <w:sz w:val="32"/>
          <w:szCs w:val="32"/>
          <w:u w:val="none"/>
          <w:lang w:bidi="ar"/>
        </w:rPr>
        <w:t>信设施建设项目应当按照国家和本省有关规定办理相关开工手续。县级以上人民政府有关部门应当规范电信设施建设审批流程，及时受理审批申请，简化审批程序，提高审批效率。</w:t>
      </w:r>
    </w:p>
    <w:p w14:paraId="0DE3825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p>
    <w:p w14:paraId="20EC3E1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设施保护</w:t>
      </w:r>
    </w:p>
    <w:p w14:paraId="5CC44AF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p>
    <w:p w14:paraId="04299CF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通信设施产权人应当加强通信设施的维护管理，落实安全保护责任，完善保护措施。</w:t>
      </w:r>
    </w:p>
    <w:p w14:paraId="384B1B9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通信设施产权人应当根据保护通信设施的需要，在通信设施上或者周围设置警示标识、围墙、栅栏等安全防护设施，并标明通信设施产权人和联系方式等信息。</w:t>
      </w:r>
    </w:p>
    <w:p w14:paraId="33AB15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通信设施的安全保护范围为：</w:t>
      </w:r>
    </w:p>
    <w:p w14:paraId="32E27C8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（一）架空通信光（电）缆线路（含附属拉线），向两侧水平延伸2米，并垂直于地面所形成的两平行面内的区域。</w:t>
      </w:r>
    </w:p>
    <w:p w14:paraId="15A3086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（二）市区内地下通信线路两侧水平延伸2米，市区外地下通信线路两侧水平延伸2.5米；水底通信线路两侧水平延伸50米。</w:t>
      </w:r>
    </w:p>
    <w:p w14:paraId="1D773F1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（三）室外通信设备及配套设施向周边延伸1.5米。</w:t>
      </w:r>
    </w:p>
    <w:p w14:paraId="0B99B7D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（四）野外移动通信基站、机房、通信杆（塔）向周边延伸3米。</w:t>
      </w:r>
    </w:p>
    <w:p w14:paraId="60718CA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通信设施安全保护范围内，实施下列影响通信设施安全行为的，应当事先告知通信设施产权人，并采取有效的安全防护措施：</w:t>
      </w:r>
    </w:p>
    <w:p w14:paraId="1A1E3F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（一）建造建筑物、构筑物；</w:t>
      </w:r>
    </w:p>
    <w:p w14:paraId="7D18C8E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（二）新建、改建或者扩建公路、铁路、机场、城市道路、桥梁、隧道、水利工程等；</w:t>
      </w:r>
    </w:p>
    <w:p w14:paraId="0E57AA0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（三）铺设电力线路、电气管道、燃气管道、输油管道、自来水管道、下水道、广播电视传输线路以及设置干扰性设备；</w:t>
      </w:r>
    </w:p>
    <w:p w14:paraId="2E4E84B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（四）钻探、爆破、采矿；</w:t>
      </w:r>
    </w:p>
    <w:p w14:paraId="1CE41C2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（五）其他可能影响通信设施安全或者通信质量的行为。</w:t>
      </w:r>
    </w:p>
    <w:p w14:paraId="12280FB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在通信设施安全保护标识范围以外实施前款行为，可能影响通信设施安全或者通信质量的，应当采取有效的安全防护措施。</w:t>
      </w:r>
    </w:p>
    <w:p w14:paraId="3937E27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空中或者地下水、电、气、油等管线及道路需要与通信管线交叉穿越、平行建设时，应当符合国家规定的间隔距离。不符合要求的，后建设单位应当与先建设单位协商，采取适当措施，确保先建设施的安全。</w:t>
      </w:r>
    </w:p>
    <w:p w14:paraId="42CB82D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种植的植物应当与通信设施保持安全距离。危及通信设施安全的，通信设施产权人应当告知植物所有权人或者管理人及时排除障碍；拒不排除的，通信设施产权人可以修剪或砍伐，产生的费用由植物所有权人或者管理人承担。后建通信设施应当与已有植物保持安全距离。</w:t>
      </w:r>
    </w:p>
    <w:p w14:paraId="0909F39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任何单位和个人不得收购无合法来源证明的通信电缆、通信设备等通信设施。</w:t>
      </w:r>
    </w:p>
    <w:p w14:paraId="6CC1D01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rPr>
      </w:pPr>
      <w:r>
        <w:rPr>
          <w:rFonts w:hint="eastAsia" w:ascii="黑体" w:hAnsi="黑体" w:eastAsia="黑体" w:cs="黑体"/>
          <w:b w:val="0"/>
          <w:bCs w:val="0"/>
          <w:color w:val="auto"/>
          <w:sz w:val="32"/>
          <w:szCs w:val="32"/>
          <w:u w:val="none"/>
        </w:rPr>
        <w:t>第三十</w:t>
      </w:r>
      <w:r>
        <w:rPr>
          <w:rFonts w:hint="eastAsia" w:ascii="黑体" w:hAnsi="黑体" w:eastAsia="黑体" w:cs="黑体"/>
          <w:b w:val="0"/>
          <w:bCs w:val="0"/>
          <w:color w:val="auto"/>
          <w:sz w:val="32"/>
          <w:szCs w:val="32"/>
          <w:u w:val="none"/>
          <w:lang w:eastAsia="zh-CN"/>
        </w:rPr>
        <w:t>三</w:t>
      </w:r>
      <w:r>
        <w:rPr>
          <w:rFonts w:hint="eastAsia" w:ascii="黑体" w:hAnsi="黑体" w:eastAsia="黑体" w:cs="黑体"/>
          <w:b w:val="0"/>
          <w:bCs w:val="0"/>
          <w:color w:val="auto"/>
          <w:sz w:val="32"/>
          <w:szCs w:val="32"/>
          <w:u w:val="none"/>
        </w:rPr>
        <w:t>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任何单位和个人不得实施下列危害通信设施安全的行为：</w:t>
      </w:r>
    </w:p>
    <w:p w14:paraId="1C6302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（一）侵占、哄抢、盗窃、损毁电信设施；</w:t>
      </w:r>
    </w:p>
    <w:p w14:paraId="552706F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（二）在可能危及通信设施安全的范围内升放风筝、气球、无人驾驶航空器等低空漂浮物体，或者设置可能干扰通信质量的设备；</w:t>
      </w:r>
    </w:p>
    <w:p w14:paraId="60115FC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（三）</w:t>
      </w:r>
      <w:r>
        <w:rPr>
          <w:rFonts w:hint="eastAsia" w:ascii="仿宋" w:hAnsi="仿宋" w:eastAsia="仿宋" w:cs="仿宋"/>
          <w:color w:val="auto"/>
          <w:sz w:val="32"/>
          <w:szCs w:val="32"/>
          <w:u w:val="none"/>
        </w:rPr>
        <w:t>在通信设施安全保护标识范围内挖沙、取土、堆土、钻探、挖沟，修建粪池、牲畜圈、沼气池等；</w:t>
      </w:r>
    </w:p>
    <w:p w14:paraId="518BDDD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四</w:t>
      </w:r>
      <w:r>
        <w:rPr>
          <w:rFonts w:hint="eastAsia" w:ascii="仿宋" w:hAnsi="仿宋" w:eastAsia="仿宋" w:cs="仿宋"/>
          <w:color w:val="auto"/>
          <w:sz w:val="32"/>
          <w:szCs w:val="32"/>
          <w:u w:val="none"/>
        </w:rPr>
        <w:t>）在埋有地下管道、通信光（电）缆的地面上倾倒含酸、碱、盐等腐蚀性的废液、废渣等；</w:t>
      </w:r>
    </w:p>
    <w:p w14:paraId="30189BF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五</w:t>
      </w:r>
      <w:r>
        <w:rPr>
          <w:rFonts w:hint="eastAsia" w:ascii="仿宋" w:hAnsi="仿宋" w:eastAsia="仿宋" w:cs="仿宋"/>
          <w:color w:val="auto"/>
          <w:sz w:val="32"/>
          <w:szCs w:val="32"/>
          <w:u w:val="none"/>
        </w:rPr>
        <w:t>）在危及通信设施安全的范围内烧荒、爆破、堆放或者停放易燃易爆物品；</w:t>
      </w:r>
    </w:p>
    <w:p w14:paraId="1D63F6F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六</w:t>
      </w:r>
      <w:r>
        <w:rPr>
          <w:rFonts w:hint="eastAsia" w:ascii="仿宋" w:hAnsi="仿宋" w:eastAsia="仿宋" w:cs="仿宋"/>
          <w:color w:val="auto"/>
          <w:sz w:val="32"/>
          <w:szCs w:val="32"/>
          <w:u w:val="none"/>
        </w:rPr>
        <w:t>）在通信设施上附挂物体、攀附农作物、拴系牲畜或者其他物品，向电信设施抛掷物体，攀爬杆（塔）；</w:t>
      </w:r>
    </w:p>
    <w:p w14:paraId="3EF4B1F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）未经批准接入通信供电系统取电；</w:t>
      </w:r>
    </w:p>
    <w:p w14:paraId="429F627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）其他危害通信设施安全的行为。</w:t>
      </w:r>
    </w:p>
    <w:p w14:paraId="7C20C5A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黑体" w:hAnsi="黑体" w:eastAsia="黑体" w:cs="黑体"/>
          <w:b w:val="0"/>
          <w:bCs w:val="0"/>
          <w:color w:val="auto"/>
          <w:sz w:val="32"/>
          <w:szCs w:val="32"/>
          <w:u w:val="none"/>
        </w:rPr>
        <w:t>第三十</w:t>
      </w:r>
      <w:r>
        <w:rPr>
          <w:rFonts w:hint="eastAsia" w:ascii="黑体" w:hAnsi="黑体" w:eastAsia="黑体" w:cs="黑体"/>
          <w:b w:val="0"/>
          <w:bCs w:val="0"/>
          <w:color w:val="auto"/>
          <w:sz w:val="32"/>
          <w:szCs w:val="32"/>
          <w:u w:val="none"/>
          <w:lang w:eastAsia="zh-CN"/>
        </w:rPr>
        <w:t>四</w:t>
      </w:r>
      <w:r>
        <w:rPr>
          <w:rFonts w:hint="eastAsia" w:ascii="黑体" w:hAnsi="黑体" w:eastAsia="黑体" w:cs="黑体"/>
          <w:b w:val="0"/>
          <w:bCs w:val="0"/>
          <w:color w:val="auto"/>
          <w:sz w:val="32"/>
          <w:szCs w:val="32"/>
          <w:u w:val="none"/>
        </w:rPr>
        <w:t>条</w:t>
      </w:r>
      <w:r>
        <w:rPr>
          <w:rFonts w:hint="eastAsia" w:ascii="仿宋" w:hAnsi="仿宋" w:eastAsia="仿宋" w:cs="仿宋"/>
          <w:color w:val="auto"/>
          <w:sz w:val="32"/>
          <w:szCs w:val="32"/>
          <w:u w:val="none"/>
          <w:lang w:val="en-US" w:eastAsia="zh-CN"/>
        </w:rPr>
        <w:t xml:space="preserve">  任何组织或者个人不得擅自改动或者迁移他人的通信设施。因城乡规划或者土地利用规划调整、市政建设工程施工或者其他公共基础设施建设确需改动或者迁移通信设施的，应当事先征得通信设施所有者或者管理者同意，并由双方协商采取措施尽量保证通信不中断，所需费用由提出改动或者迁移要求的组织或者个人承担；造成通信业务经营者经济损失的，应当依法予以补偿。</w:t>
      </w:r>
    </w:p>
    <w:p w14:paraId="32E5D267">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第三十五条</w:t>
      </w:r>
      <w:r>
        <w:rPr>
          <w:rFonts w:hint="eastAsia" w:ascii="黑体" w:hAnsi="黑体" w:eastAsia="黑体" w:cs="黑体"/>
          <w:b w:val="0"/>
          <w:bCs w:val="0"/>
          <w:color w:val="auto"/>
          <w:sz w:val="24"/>
          <w:szCs w:val="24"/>
          <w:u w:val="none"/>
          <w:lang w:val="en-US" w:eastAsia="zh-CN"/>
        </w:rPr>
        <w:t xml:space="preserve">  </w:t>
      </w:r>
      <w:bookmarkStart w:id="0" w:name="_Hlk185254858"/>
      <w:r>
        <w:rPr>
          <w:rFonts w:hint="eastAsia" w:ascii="仿宋" w:hAnsi="仿宋" w:eastAsia="仿宋" w:cs="仿宋"/>
          <w:b w:val="0"/>
          <w:bCs w:val="0"/>
          <w:color w:val="auto"/>
          <w:sz w:val="32"/>
          <w:szCs w:val="32"/>
          <w:u w:val="none"/>
          <w:lang w:val="en-US" w:eastAsia="zh-CN"/>
        </w:rPr>
        <w:t>通</w:t>
      </w:r>
      <w:r>
        <w:rPr>
          <w:rFonts w:hint="eastAsia" w:ascii="仿宋" w:hAnsi="仿宋" w:eastAsia="仿宋" w:cs="仿宋"/>
          <w:color w:val="auto"/>
          <w:sz w:val="32"/>
          <w:szCs w:val="32"/>
          <w:u w:val="none"/>
          <w:lang w:bidi="ar"/>
        </w:rPr>
        <w:t>信</w:t>
      </w:r>
      <w:r>
        <w:rPr>
          <w:rFonts w:hint="eastAsia" w:ascii="方正仿宋_GB2312" w:hAnsi="方正仿宋_GB2312" w:eastAsia="方正仿宋_GB2312" w:cs="方正仿宋_GB2312"/>
          <w:color w:val="auto"/>
          <w:sz w:val="32"/>
          <w:szCs w:val="32"/>
          <w:u w:val="none"/>
          <w:lang w:bidi="ar"/>
        </w:rPr>
        <w:t>设施终止使用、不需要继续保留且不符合城市容貌标准的，</w:t>
      </w:r>
      <w:r>
        <w:rPr>
          <w:rFonts w:hint="eastAsia" w:ascii="仿宋" w:hAnsi="仿宋" w:eastAsia="仿宋" w:cs="仿宋"/>
          <w:b w:val="0"/>
          <w:bCs w:val="0"/>
          <w:color w:val="auto"/>
          <w:sz w:val="32"/>
          <w:szCs w:val="32"/>
          <w:u w:val="none"/>
          <w:lang w:val="en-US" w:eastAsia="zh-CN"/>
        </w:rPr>
        <w:t>通</w:t>
      </w:r>
      <w:r>
        <w:rPr>
          <w:rFonts w:hint="eastAsia" w:ascii="仿宋" w:hAnsi="仿宋" w:eastAsia="仿宋" w:cs="仿宋"/>
          <w:color w:val="auto"/>
          <w:sz w:val="32"/>
          <w:szCs w:val="32"/>
          <w:u w:val="none"/>
          <w:lang w:bidi="ar"/>
        </w:rPr>
        <w:t>信</w:t>
      </w:r>
      <w:r>
        <w:rPr>
          <w:rFonts w:hint="eastAsia" w:ascii="方正仿宋_GB2312" w:hAnsi="方正仿宋_GB2312" w:eastAsia="方正仿宋_GB2312" w:cs="方正仿宋_GB2312"/>
          <w:color w:val="auto"/>
          <w:sz w:val="32"/>
          <w:szCs w:val="32"/>
          <w:u w:val="none"/>
          <w:lang w:bidi="ar"/>
        </w:rPr>
        <w:t>设施产权人应当及时拆除。</w:t>
      </w:r>
      <w:bookmarkEnd w:id="0"/>
    </w:p>
    <w:p w14:paraId="393E7F5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公安机关应当依法及时查处阻碍通信设施建设，破坏、盗窃通信设施以及其他危害通信设施安全的违法犯罪行为。</w:t>
      </w:r>
    </w:p>
    <w:p w14:paraId="1D143C4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任何单位和个人不得阻碍应急通信保障和通信设施抢修工作，对进入通信保障应急处置场所或者通信设施抢修场所的通信设施抢修人员及车辆，不得收取任何费用。</w:t>
      </w:r>
    </w:p>
    <w:p w14:paraId="4A98143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自治区通信管理机构应当根据有关规定制定应急预案，建立应对重大自然灾害、事故灾难、处置突发事件的通信保障应急机制，提高通信应急处置能力。</w:t>
      </w:r>
    </w:p>
    <w:p w14:paraId="6189B7C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p>
    <w:p w14:paraId="3BDE93F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14:paraId="786FC523">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 w:hAnsi="仿宋" w:eastAsia="仿宋" w:cs="仿宋"/>
          <w:b/>
          <w:bCs/>
          <w:sz w:val="32"/>
          <w:szCs w:val="32"/>
        </w:rPr>
      </w:pPr>
    </w:p>
    <w:p w14:paraId="1354D9F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color w:val="auto"/>
          <w:sz w:val="32"/>
          <w:szCs w:val="32"/>
          <w:u w:val="none"/>
        </w:rPr>
        <w:t>第三十</w:t>
      </w:r>
      <w:r>
        <w:rPr>
          <w:rFonts w:hint="eastAsia" w:ascii="黑体" w:hAnsi="黑体" w:eastAsia="黑体" w:cs="黑体"/>
          <w:b w:val="0"/>
          <w:bCs w:val="0"/>
          <w:color w:val="auto"/>
          <w:sz w:val="32"/>
          <w:szCs w:val="32"/>
          <w:u w:val="none"/>
          <w:lang w:eastAsia="zh-CN"/>
        </w:rPr>
        <w:t>九</w:t>
      </w:r>
      <w:r>
        <w:rPr>
          <w:rFonts w:hint="eastAsia" w:ascii="黑体" w:hAnsi="黑体" w:eastAsia="黑体" w:cs="黑体"/>
          <w:b w:val="0"/>
          <w:bCs w:val="0"/>
          <w:color w:val="auto"/>
          <w:sz w:val="32"/>
          <w:szCs w:val="32"/>
          <w:u w:val="none"/>
        </w:rPr>
        <w:t>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违反本</w:t>
      </w:r>
      <w:r>
        <w:rPr>
          <w:rFonts w:hint="eastAsia" w:ascii="仿宋" w:hAnsi="仿宋" w:eastAsia="仿宋" w:cs="仿宋"/>
          <w:color w:val="auto"/>
          <w:sz w:val="32"/>
          <w:szCs w:val="32"/>
          <w:u w:val="none"/>
          <w:lang w:eastAsia="zh-CN"/>
        </w:rPr>
        <w:t>条例</w:t>
      </w:r>
      <w:r>
        <w:rPr>
          <w:rFonts w:hint="eastAsia" w:ascii="仿宋" w:hAnsi="仿宋" w:eastAsia="仿宋" w:cs="仿宋"/>
          <w:sz w:val="32"/>
          <w:szCs w:val="32"/>
        </w:rPr>
        <w:t>规定的行为，法律、法规已有处罚规定的，从其规定；造成财产损失或者其他民事损害的，依法承担民事责任。</w:t>
      </w:r>
    </w:p>
    <w:p w14:paraId="292668B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对电磁辐射不符合国家标准的移动通信基站，自治区环境保护行政主管部门应当责令限期整改，逾期不改或者整改不合格的，依法予以处理。</w:t>
      </w:r>
    </w:p>
    <w:p w14:paraId="4AC5353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eastAsia="zh-CN"/>
        </w:rPr>
        <w:t>四十一</w:t>
      </w:r>
      <w:r>
        <w:rPr>
          <w:rFonts w:hint="eastAsia" w:ascii="黑体" w:hAnsi="黑体" w:eastAsia="黑体" w:cs="黑体"/>
          <w:b w:val="0"/>
          <w:bCs w:val="0"/>
          <w:color w:val="auto"/>
          <w:sz w:val="32"/>
          <w:szCs w:val="32"/>
          <w:u w:val="none"/>
        </w:rPr>
        <w:t>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违反本</w:t>
      </w:r>
      <w:r>
        <w:rPr>
          <w:rFonts w:hint="eastAsia" w:ascii="仿宋" w:hAnsi="仿宋" w:eastAsia="仿宋" w:cs="仿宋"/>
          <w:color w:val="auto"/>
          <w:sz w:val="32"/>
          <w:szCs w:val="32"/>
          <w:u w:val="none"/>
          <w:lang w:eastAsia="zh-CN"/>
        </w:rPr>
        <w:t>条例</w:t>
      </w: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eastAsia="zh-CN"/>
        </w:rPr>
        <w:t>二十一</w:t>
      </w:r>
      <w:r>
        <w:rPr>
          <w:rFonts w:hint="eastAsia" w:ascii="仿宋" w:hAnsi="仿宋" w:eastAsia="仿宋" w:cs="仿宋"/>
          <w:color w:val="auto"/>
          <w:sz w:val="32"/>
          <w:szCs w:val="32"/>
          <w:u w:val="none"/>
        </w:rPr>
        <w:t>条规定，建设项目未同步配套通信设施的、综合验收违反国家</w:t>
      </w:r>
      <w:r>
        <w:rPr>
          <w:rFonts w:hint="eastAsia" w:ascii="仿宋" w:hAnsi="仿宋" w:eastAsia="仿宋" w:cs="仿宋"/>
          <w:color w:val="auto"/>
          <w:sz w:val="32"/>
          <w:szCs w:val="32"/>
          <w:u w:val="none"/>
          <w:lang w:eastAsia="zh-CN"/>
        </w:rPr>
        <w:t>强制性</w:t>
      </w:r>
      <w:r>
        <w:rPr>
          <w:rFonts w:hint="eastAsia" w:ascii="仿宋" w:hAnsi="仿宋" w:eastAsia="仿宋" w:cs="仿宋"/>
          <w:color w:val="auto"/>
          <w:sz w:val="32"/>
          <w:szCs w:val="32"/>
          <w:u w:val="none"/>
        </w:rPr>
        <w:t>标准</w:t>
      </w:r>
      <w:r>
        <w:rPr>
          <w:rFonts w:hint="eastAsia" w:ascii="仿宋" w:hAnsi="仿宋" w:eastAsia="仿宋" w:cs="仿宋"/>
          <w:color w:val="auto"/>
          <w:sz w:val="32"/>
          <w:szCs w:val="32"/>
          <w:u w:val="none"/>
          <w:lang w:eastAsia="zh-CN"/>
        </w:rPr>
        <w:t>和规范</w:t>
      </w:r>
      <w:r>
        <w:rPr>
          <w:rFonts w:hint="eastAsia" w:ascii="仿宋" w:hAnsi="仿宋" w:eastAsia="仿宋" w:cs="仿宋"/>
          <w:color w:val="auto"/>
          <w:sz w:val="32"/>
          <w:szCs w:val="32"/>
          <w:u w:val="none"/>
        </w:rPr>
        <w:t>的、未为通信业务经营者提供平等的接入条件或者与通信业务经营者签订具有排他性条款协议的，由自治区通信管理机构责令限期改正，处</w:t>
      </w:r>
      <w:r>
        <w:rPr>
          <w:rFonts w:hint="eastAsia" w:ascii="方正仿宋_GB2312" w:hAnsi="方正仿宋_GB2312" w:eastAsia="方正仿宋_GB2312" w:cs="方正仿宋_GB2312"/>
          <w:color w:val="auto"/>
          <w:sz w:val="32"/>
          <w:szCs w:val="32"/>
          <w:u w:val="none"/>
        </w:rPr>
        <w:t>1万元以上10万元以下罚款</w:t>
      </w:r>
      <w:r>
        <w:rPr>
          <w:rFonts w:hint="eastAsia" w:ascii="仿宋" w:hAnsi="仿宋" w:eastAsia="仿宋" w:cs="仿宋"/>
          <w:color w:val="auto"/>
          <w:sz w:val="32"/>
          <w:szCs w:val="32"/>
          <w:u w:val="none"/>
        </w:rPr>
        <w:t>。</w:t>
      </w:r>
    </w:p>
    <w:p w14:paraId="06805A6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eastAsia="zh-CN"/>
        </w:rPr>
        <w:t>四十二</w:t>
      </w:r>
      <w:r>
        <w:rPr>
          <w:rFonts w:hint="eastAsia" w:ascii="黑体" w:hAnsi="黑体" w:eastAsia="黑体" w:cs="黑体"/>
          <w:b w:val="0"/>
          <w:bCs w:val="0"/>
          <w:color w:val="auto"/>
          <w:sz w:val="32"/>
          <w:szCs w:val="32"/>
          <w:u w:val="none"/>
        </w:rPr>
        <w:t>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违反本</w:t>
      </w:r>
      <w:r>
        <w:rPr>
          <w:rFonts w:hint="eastAsia" w:ascii="仿宋" w:hAnsi="仿宋" w:eastAsia="仿宋" w:cs="仿宋"/>
          <w:color w:val="auto"/>
          <w:sz w:val="32"/>
          <w:szCs w:val="32"/>
          <w:u w:val="none"/>
          <w:lang w:eastAsia="zh-CN"/>
        </w:rPr>
        <w:t>条例第三十一</w:t>
      </w:r>
      <w:r>
        <w:rPr>
          <w:rFonts w:hint="eastAsia" w:ascii="仿宋" w:hAnsi="仿宋" w:eastAsia="仿宋" w:cs="仿宋"/>
          <w:color w:val="auto"/>
          <w:sz w:val="32"/>
          <w:szCs w:val="32"/>
          <w:u w:val="none"/>
        </w:rPr>
        <w:t>条规定，收购无合法来源证明的通信电缆、通信设备等通信设施的单位和个人，由公安机关依法处理。</w:t>
      </w:r>
    </w:p>
    <w:p w14:paraId="75E3B17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lang w:eastAsia="zh-CN"/>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eastAsia="zh-CN"/>
        </w:rPr>
        <w:t>四十三</w:t>
      </w:r>
      <w:r>
        <w:rPr>
          <w:rFonts w:hint="eastAsia" w:ascii="黑体" w:hAnsi="黑体" w:eastAsia="黑体" w:cs="黑体"/>
          <w:b w:val="0"/>
          <w:bCs w:val="0"/>
          <w:color w:val="auto"/>
          <w:sz w:val="32"/>
          <w:szCs w:val="32"/>
          <w:u w:val="none"/>
        </w:rPr>
        <w:t>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违反本</w:t>
      </w:r>
      <w:r>
        <w:rPr>
          <w:rFonts w:hint="eastAsia" w:ascii="仿宋" w:hAnsi="仿宋" w:eastAsia="仿宋" w:cs="仿宋"/>
          <w:color w:val="auto"/>
          <w:sz w:val="32"/>
          <w:szCs w:val="32"/>
          <w:u w:val="none"/>
          <w:lang w:eastAsia="zh-CN"/>
        </w:rPr>
        <w:t>条例</w:t>
      </w:r>
      <w:r>
        <w:rPr>
          <w:rFonts w:hint="eastAsia" w:ascii="仿宋" w:hAnsi="仿宋" w:eastAsia="仿宋" w:cs="仿宋"/>
          <w:color w:val="auto"/>
          <w:sz w:val="32"/>
          <w:szCs w:val="32"/>
          <w:u w:val="none"/>
        </w:rPr>
        <w:t>第三十</w:t>
      </w:r>
      <w:r>
        <w:rPr>
          <w:rFonts w:hint="eastAsia" w:ascii="仿宋" w:hAnsi="仿宋" w:eastAsia="仿宋" w:cs="仿宋"/>
          <w:color w:val="auto"/>
          <w:sz w:val="32"/>
          <w:szCs w:val="32"/>
          <w:u w:val="none"/>
          <w:lang w:eastAsia="zh-CN"/>
        </w:rPr>
        <w:t>二</w:t>
      </w:r>
      <w:r>
        <w:rPr>
          <w:rFonts w:hint="eastAsia" w:ascii="仿宋" w:hAnsi="仿宋" w:eastAsia="仿宋" w:cs="仿宋"/>
          <w:color w:val="auto"/>
          <w:sz w:val="32"/>
          <w:szCs w:val="32"/>
          <w:u w:val="none"/>
        </w:rPr>
        <w:t>条规定的，危及通信设施安全的，由自治区通信管理机构责令改正</w:t>
      </w:r>
      <w:r>
        <w:rPr>
          <w:rFonts w:hint="eastAsia" w:ascii="仿宋" w:hAnsi="仿宋" w:eastAsia="仿宋" w:cs="仿宋"/>
          <w:color w:val="auto"/>
          <w:sz w:val="32"/>
          <w:szCs w:val="32"/>
          <w:u w:val="none"/>
          <w:lang w:eastAsia="zh-CN"/>
        </w:rPr>
        <w:t>，对个人处</w:t>
      </w:r>
      <w:r>
        <w:rPr>
          <w:rFonts w:hint="eastAsia" w:ascii="仿宋" w:hAnsi="仿宋" w:eastAsia="仿宋" w:cs="仿宋"/>
          <w:color w:val="auto"/>
          <w:sz w:val="32"/>
          <w:szCs w:val="32"/>
          <w:u w:val="none"/>
          <w:lang w:val="en-US" w:eastAsia="zh-CN"/>
        </w:rPr>
        <w:t>1000元以上5000元以下罚款</w:t>
      </w:r>
      <w:r>
        <w:rPr>
          <w:rFonts w:hint="eastAsia" w:ascii="仿宋" w:hAnsi="仿宋" w:eastAsia="仿宋" w:cs="仿宋"/>
          <w:color w:val="auto"/>
          <w:sz w:val="32"/>
          <w:szCs w:val="32"/>
          <w:u w:val="none"/>
          <w:lang w:eastAsia="zh-CN"/>
        </w:rPr>
        <w:t>，对法人及其他组织处</w:t>
      </w:r>
      <w:r>
        <w:rPr>
          <w:rFonts w:hint="eastAsia" w:ascii="仿宋" w:hAnsi="仿宋" w:eastAsia="仿宋" w:cs="仿宋"/>
          <w:color w:val="auto"/>
          <w:sz w:val="32"/>
          <w:szCs w:val="32"/>
          <w:u w:val="none"/>
          <w:lang w:val="en-US" w:eastAsia="zh-CN"/>
        </w:rPr>
        <w:t>2万元以上5万元以下罚款。</w:t>
      </w:r>
      <w:r>
        <w:rPr>
          <w:rFonts w:hint="eastAsia" w:ascii="仿宋" w:hAnsi="仿宋" w:eastAsia="仿宋" w:cs="仿宋"/>
          <w:color w:val="auto"/>
          <w:sz w:val="32"/>
          <w:szCs w:val="32"/>
          <w:u w:val="none"/>
          <w:lang w:eastAsia="zh-CN"/>
        </w:rPr>
        <w:t>涉嫌犯罪的，移送司法机关处理。</w:t>
      </w:r>
    </w:p>
    <w:p w14:paraId="07EC0AD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第四十四条</w:t>
      </w:r>
      <w:r>
        <w:rPr>
          <w:rFonts w:hint="eastAsia" w:ascii="黑体" w:hAnsi="黑体" w:eastAsia="黑体" w:cs="黑体"/>
          <w:b w:val="0"/>
          <w:bCs w:val="0"/>
          <w:color w:val="auto"/>
          <w:sz w:val="24"/>
          <w:szCs w:val="24"/>
          <w:u w:val="none"/>
          <w:lang w:val="en-US" w:eastAsia="zh-CN"/>
        </w:rPr>
        <w:t xml:space="preserve">  </w:t>
      </w:r>
      <w:r>
        <w:rPr>
          <w:rFonts w:hint="eastAsia" w:ascii="仿宋" w:hAnsi="仿宋" w:eastAsia="仿宋" w:cs="仿宋"/>
          <w:b w:val="0"/>
          <w:bCs w:val="0"/>
          <w:color w:val="auto"/>
          <w:sz w:val="32"/>
          <w:szCs w:val="32"/>
          <w:u w:val="none"/>
          <w:lang w:val="en-US" w:eastAsia="zh-CN"/>
        </w:rPr>
        <w:t>擅自改动或者迁移他人的电信线路及其他电信设施的，由自治区通信管理局机构处处1万元以上10万元以下的罚款。</w:t>
      </w:r>
    </w:p>
    <w:p w14:paraId="5A786AC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第四十五条</w:t>
      </w:r>
      <w:r>
        <w:rPr>
          <w:rFonts w:hint="eastAsia" w:ascii="黑体" w:hAnsi="黑体" w:eastAsia="黑体" w:cs="黑体"/>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lang w:val="en-US" w:eastAsia="zh-CN"/>
        </w:rPr>
        <w:t>违反本条例第三十四条规定，电信业务经营者限期未拆除电信设施的，由县级以上人民政府城市管理</w:t>
      </w:r>
      <w:bookmarkStart w:id="1" w:name="_Hlk185260998"/>
      <w:r>
        <w:rPr>
          <w:rFonts w:hint="eastAsia" w:ascii="仿宋" w:hAnsi="仿宋" w:eastAsia="仿宋" w:cs="仿宋"/>
          <w:b w:val="0"/>
          <w:bCs w:val="0"/>
          <w:color w:val="auto"/>
          <w:sz w:val="32"/>
          <w:szCs w:val="32"/>
          <w:u w:val="none"/>
          <w:lang w:val="en-US" w:eastAsia="zh-CN"/>
        </w:rPr>
        <w:t>、住房城乡建设、自然资源等有关部门或者乡（镇）人民政府按照法定职责责令其限期拆除。</w:t>
      </w:r>
      <w:bookmarkEnd w:id="1"/>
    </w:p>
    <w:p w14:paraId="11026D6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color w:val="auto"/>
          <w:sz w:val="32"/>
          <w:szCs w:val="32"/>
          <w:u w:val="none"/>
        </w:rPr>
        <w:t>第四十</w:t>
      </w:r>
      <w:r>
        <w:rPr>
          <w:rFonts w:hint="eastAsia" w:ascii="黑体" w:hAnsi="黑体" w:eastAsia="黑体" w:cs="黑体"/>
          <w:b w:val="0"/>
          <w:bCs w:val="0"/>
          <w:color w:val="auto"/>
          <w:sz w:val="32"/>
          <w:szCs w:val="32"/>
          <w:u w:val="none"/>
          <w:lang w:eastAsia="zh-CN"/>
        </w:rPr>
        <w:t>六</w:t>
      </w:r>
      <w:r>
        <w:rPr>
          <w:rFonts w:hint="eastAsia" w:ascii="黑体" w:hAnsi="黑体" w:eastAsia="黑体" w:cs="黑体"/>
          <w:b w:val="0"/>
          <w:bCs w:val="0"/>
          <w:color w:val="auto"/>
          <w:sz w:val="32"/>
          <w:szCs w:val="32"/>
          <w:u w:val="none"/>
        </w:rPr>
        <w:t>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通信设施建设单位违反本</w:t>
      </w:r>
      <w:r>
        <w:rPr>
          <w:rFonts w:hint="eastAsia" w:ascii="仿宋" w:hAnsi="仿宋" w:eastAsia="仿宋" w:cs="仿宋"/>
          <w:color w:val="auto"/>
          <w:sz w:val="32"/>
          <w:szCs w:val="32"/>
          <w:u w:val="none"/>
          <w:lang w:eastAsia="zh-CN"/>
        </w:rPr>
        <w:t>条例</w:t>
      </w:r>
      <w:r>
        <w:rPr>
          <w:rFonts w:hint="eastAsia" w:ascii="仿宋" w:hAnsi="仿宋" w:eastAsia="仿宋" w:cs="仿宋"/>
          <w:color w:val="auto"/>
          <w:sz w:val="32"/>
          <w:szCs w:val="32"/>
          <w:u w:val="none"/>
        </w:rPr>
        <w:t>规</w:t>
      </w:r>
      <w:r>
        <w:rPr>
          <w:rFonts w:hint="eastAsia" w:ascii="仿宋" w:hAnsi="仿宋" w:eastAsia="仿宋" w:cs="仿宋"/>
          <w:sz w:val="32"/>
          <w:szCs w:val="32"/>
        </w:rPr>
        <w:t>定，有下列行为之一的，由自治区通信管理机构按照规定给予处罚：</w:t>
      </w:r>
    </w:p>
    <w:p w14:paraId="07BEC81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（一）违反规划或者在规划之外擅自建设通信设施的，责令限期改正；</w:t>
      </w:r>
    </w:p>
    <w:p w14:paraId="1D50EC0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（二）在通信设施建设和维护时，严重影响公民、法人或者其他组织正常生产生活的，责令限期改正；逾期不改的，处以1万元罚款；</w:t>
      </w:r>
    </w:p>
    <w:p w14:paraId="7A38DB1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（三）对施工过程中损坏的建筑物、小区绿地、道路等设施造成损毁的，应当给予补偿；未给予补偿的，处以损坏金额1倍以上3倍以下罚款。</w:t>
      </w:r>
    </w:p>
    <w:p w14:paraId="3A62202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因擅自挪动、损毁、改变、盗窃通信设施造成通信设施和通信业务或者其他损失的，由侵权人负责赔偿，赔偿标准按照《公用电信设施损坏经济损失计算方法》执行。</w:t>
      </w:r>
    </w:p>
    <w:p w14:paraId="326CE85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通信管理机构及其他有关部门的工作人员在通信设施规划、建设与保护工作中，滥用职权、玩忽职守、徇私舞弊的，依法给予行政处分；涉嫌犯罪的，移送司法机关处理。</w:t>
      </w:r>
    </w:p>
    <w:p w14:paraId="07C3500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p>
    <w:p w14:paraId="2D8B361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14:paraId="3F80A2F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p>
    <w:p w14:paraId="62D67E6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rPr>
        <w:t>第四十</w:t>
      </w:r>
      <w:r>
        <w:rPr>
          <w:rFonts w:hint="eastAsia" w:ascii="黑体" w:hAnsi="黑体" w:eastAsia="黑体" w:cs="黑体"/>
          <w:b w:val="0"/>
          <w:bCs w:val="0"/>
          <w:color w:val="auto"/>
          <w:sz w:val="32"/>
          <w:szCs w:val="32"/>
          <w:u w:val="none"/>
          <w:lang w:eastAsia="zh-CN"/>
        </w:rPr>
        <w:t>九</w:t>
      </w:r>
      <w:r>
        <w:rPr>
          <w:rFonts w:hint="eastAsia" w:ascii="黑体" w:hAnsi="黑体" w:eastAsia="黑体" w:cs="黑体"/>
          <w:b w:val="0"/>
          <w:bCs w:val="0"/>
          <w:color w:val="auto"/>
          <w:sz w:val="32"/>
          <w:szCs w:val="32"/>
          <w:u w:val="none"/>
        </w:rPr>
        <w:t>条</w:t>
      </w:r>
      <w:r>
        <w:rPr>
          <w:rFonts w:hint="eastAsia" w:ascii="黑体" w:hAnsi="黑体" w:eastAsia="黑体" w:cs="黑体"/>
          <w:b w:val="0"/>
          <w:bCs w:val="0"/>
          <w:color w:val="auto"/>
          <w:sz w:val="32"/>
          <w:szCs w:val="32"/>
          <w:u w:val="none"/>
          <w:lang w:val="en-US" w:eastAsia="zh-CN"/>
        </w:rPr>
        <w:t xml:space="preserve">  </w:t>
      </w:r>
      <w:r>
        <w:rPr>
          <w:rFonts w:hint="eastAsia" w:ascii="仿宋" w:hAnsi="仿宋" w:eastAsia="仿宋" w:cs="仿宋"/>
          <w:i w:val="0"/>
          <w:iCs w:val="0"/>
          <w:caps w:val="0"/>
          <w:color w:val="auto"/>
          <w:spacing w:val="0"/>
          <w:kern w:val="0"/>
          <w:sz w:val="32"/>
          <w:szCs w:val="32"/>
          <w:u w:val="none"/>
          <w:shd w:val="clear" w:fill="FFFFFF"/>
          <w:lang w:val="en-US" w:eastAsia="zh-CN" w:bidi="ar"/>
        </w:rPr>
        <w:t>关键信息基础设施的建设与保护活动，依照《中华人民共和国网络安全法》《关键信息基础设施安全保护条例》等法律、行政法规的规定执行。</w:t>
      </w:r>
    </w:p>
    <w:p w14:paraId="0CC374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第五十条</w:t>
      </w:r>
      <w:r>
        <w:rPr>
          <w:rFonts w:hint="eastAsia" w:ascii="黑体" w:hAnsi="黑体" w:eastAsia="黑体" w:cs="黑体"/>
          <w:b w:val="0"/>
          <w:bCs w:val="0"/>
          <w:color w:val="auto"/>
          <w:sz w:val="24"/>
          <w:szCs w:val="24"/>
          <w:u w:val="none"/>
          <w:lang w:val="en-US" w:eastAsia="zh-CN"/>
        </w:rPr>
        <w:t xml:space="preserve">  </w:t>
      </w:r>
      <w:r>
        <w:rPr>
          <w:rFonts w:hint="eastAsia" w:ascii="仿宋" w:hAnsi="仿宋" w:eastAsia="仿宋" w:cs="仿宋"/>
          <w:i w:val="0"/>
          <w:iCs w:val="0"/>
          <w:caps w:val="0"/>
          <w:color w:val="auto"/>
          <w:spacing w:val="0"/>
          <w:sz w:val="32"/>
          <w:szCs w:val="32"/>
          <w:u w:val="none"/>
          <w:shd w:val="clear" w:fill="FFFFFF"/>
        </w:rPr>
        <w:t>专用电信网、广播电视传输网的建设和保护按照有关法律、法规的规定执行。</w:t>
      </w:r>
    </w:p>
    <w:p w14:paraId="1B5AA84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u w:val="none"/>
        </w:rPr>
      </w:pPr>
      <w:r>
        <w:rPr>
          <w:rFonts w:hint="eastAsia" w:ascii="黑体" w:hAnsi="黑体" w:eastAsia="黑体" w:cs="黑体"/>
          <w:b w:val="0"/>
          <w:bCs w:val="0"/>
          <w:color w:val="auto"/>
          <w:sz w:val="32"/>
          <w:szCs w:val="32"/>
          <w:u w:val="none"/>
          <w:lang w:val="en-US" w:eastAsia="zh-CN"/>
        </w:rPr>
        <w:t>第五十一条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本</w:t>
      </w:r>
      <w:r>
        <w:rPr>
          <w:rFonts w:hint="eastAsia" w:ascii="仿宋" w:hAnsi="仿宋" w:eastAsia="仿宋" w:cs="仿宋"/>
          <w:color w:val="auto"/>
          <w:sz w:val="32"/>
          <w:szCs w:val="32"/>
          <w:u w:val="none"/>
          <w:lang w:eastAsia="zh-CN"/>
        </w:rPr>
        <w:t>条例</w:t>
      </w:r>
      <w:r>
        <w:rPr>
          <w:rFonts w:hint="eastAsia" w:ascii="仿宋" w:hAnsi="仿宋" w:eastAsia="仿宋" w:cs="仿宋"/>
          <w:color w:val="auto"/>
          <w:sz w:val="32"/>
          <w:szCs w:val="32"/>
          <w:u w:val="none"/>
        </w:rPr>
        <w:t>自20</w:t>
      </w:r>
      <w:r>
        <w:rPr>
          <w:rFonts w:hint="eastAsia" w:ascii="仿宋" w:hAnsi="仿宋" w:eastAsia="仿宋" w:cs="仿宋"/>
          <w:color w:val="auto"/>
          <w:sz w:val="32"/>
          <w:szCs w:val="32"/>
          <w:u w:val="none"/>
          <w:lang w:val="en-US" w:eastAsia="zh-CN"/>
        </w:rPr>
        <w:t>XX</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val="en-US" w:eastAsia="zh-CN"/>
        </w:rPr>
        <w:t>X</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X</w:t>
      </w:r>
      <w:r>
        <w:rPr>
          <w:rFonts w:hint="eastAsia" w:ascii="仿宋" w:hAnsi="仿宋" w:eastAsia="仿宋" w:cs="仿宋"/>
          <w:color w:val="auto"/>
          <w:sz w:val="32"/>
          <w:szCs w:val="32"/>
          <w:u w:val="none"/>
        </w:rPr>
        <w:t>日起施行。《西藏</w:t>
      </w:r>
      <w:r>
        <w:rPr>
          <w:rFonts w:hint="eastAsia" w:ascii="仿宋" w:hAnsi="仿宋" w:eastAsia="仿宋" w:cs="仿宋"/>
          <w:color w:val="auto"/>
          <w:sz w:val="32"/>
          <w:szCs w:val="32"/>
          <w:u w:val="none"/>
          <w:lang w:eastAsia="zh-CN"/>
        </w:rPr>
        <w:t>自治区</w:t>
      </w:r>
      <w:r>
        <w:rPr>
          <w:rFonts w:hint="eastAsia" w:ascii="仿宋" w:hAnsi="仿宋" w:eastAsia="仿宋" w:cs="仿宋"/>
          <w:color w:val="auto"/>
          <w:sz w:val="32"/>
          <w:szCs w:val="32"/>
          <w:u w:val="none"/>
        </w:rPr>
        <w:t>通信</w:t>
      </w:r>
      <w:r>
        <w:rPr>
          <w:rFonts w:hint="eastAsia" w:ascii="仿宋" w:hAnsi="仿宋" w:eastAsia="仿宋" w:cs="仿宋"/>
          <w:color w:val="auto"/>
          <w:sz w:val="32"/>
          <w:szCs w:val="32"/>
          <w:u w:val="none"/>
          <w:lang w:eastAsia="zh-CN"/>
        </w:rPr>
        <w:t>设施建设与保护办法</w:t>
      </w:r>
      <w:r>
        <w:rPr>
          <w:rFonts w:hint="eastAsia" w:ascii="仿宋" w:hAnsi="仿宋" w:eastAsia="仿宋" w:cs="仿宋"/>
          <w:color w:val="auto"/>
          <w:sz w:val="32"/>
          <w:szCs w:val="32"/>
          <w:u w:val="none"/>
        </w:rPr>
        <w:t>》同时废止。</w:t>
      </w:r>
    </w:p>
    <w:p w14:paraId="71C7F22D">
      <w:pPr>
        <w:keepNext w:val="0"/>
        <w:keepLines w:val="0"/>
        <w:pageBreakBefore w:val="0"/>
        <w:kinsoku/>
        <w:overflowPunct/>
        <w:topLinePunct w:val="0"/>
        <w:autoSpaceDE/>
        <w:autoSpaceDN/>
        <w:bidi w:val="0"/>
        <w:spacing w:line="579" w:lineRule="exact"/>
        <w:textAlignment w:val="auto"/>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D3E943-1106-486B-8807-31087C3F32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2D43743-A8F9-4787-8B34-E5FD4BF91DDB}"/>
  </w:font>
  <w:font w:name="方正小标宋简体">
    <w:panose1 w:val="02000000000000000000"/>
    <w:charset w:val="86"/>
    <w:family w:val="auto"/>
    <w:pitch w:val="default"/>
    <w:sig w:usb0="00000001" w:usb1="08000000" w:usb2="00000000" w:usb3="00000000" w:csb0="00040000" w:csb1="00000000"/>
    <w:embedRegular r:id="rId3" w:fontKey="{44E8BC62-36B4-4C51-A815-19AC939D8B14}"/>
  </w:font>
  <w:font w:name="仿宋">
    <w:panose1 w:val="02010609060101010101"/>
    <w:charset w:val="86"/>
    <w:family w:val="auto"/>
    <w:pitch w:val="default"/>
    <w:sig w:usb0="800002BF" w:usb1="38CF7CFA" w:usb2="00000016" w:usb3="00000000" w:csb0="00040001" w:csb1="00000000"/>
    <w:embedRegular r:id="rId4" w:fontKey="{1F16E1FD-D509-4B9A-9763-962E2314DB95}"/>
  </w:font>
  <w:font w:name="方正仿宋_GB2312">
    <w:panose1 w:val="02000000000000000000"/>
    <w:charset w:val="86"/>
    <w:family w:val="auto"/>
    <w:pitch w:val="default"/>
    <w:sig w:usb0="A00002BF" w:usb1="184F6CFA" w:usb2="00000012" w:usb3="00000000" w:csb0="00040001" w:csb1="00000000"/>
    <w:embedRegular r:id="rId5" w:fontKey="{6A7E79E3-5117-469F-B2F7-D0468CCEC0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34A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FE941">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2FE941">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B6D17"/>
    <w:rsid w:val="36890BEC"/>
    <w:rsid w:val="3C0B0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5615</Words>
  <Characters>5631</Characters>
  <Lines>0</Lines>
  <Paragraphs>0</Paragraphs>
  <TotalTime>5</TotalTime>
  <ScaleCrop>false</ScaleCrop>
  <LinksUpToDate>false</LinksUpToDate>
  <CharactersWithSpaces>5761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赤列</cp:lastModifiedBy>
  <cp:lastPrinted>2024-12-26T02:28:00Z</cp:lastPrinted>
  <dcterms:modified xsi:type="dcterms:W3CDTF">2024-12-26T04:28:43Z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eyJoZGlkIjoiYzUwMjkzMjM1ZmRlNDI1NWRjNWUyN2MwMzk4YjMzYTIiLCJ1c2VySWQiOiIyMDQzNjY0MTcifQ==</vt:lpwstr>
  </property>
  <property fmtid="{D5CDD505-2E9C-101B-9397-08002B2CF9AE}" pid="4" name="ICV">
    <vt:lpwstr>2BB48A1DC9314ECFA1945287BD041B67_12</vt:lpwstr>
  </property>
</Properties>
</file>