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6FBE9">
      <w:pPr>
        <w:pStyle w:val="11"/>
        <w:rPr>
          <w:rFonts w:hint="eastAsia" w:ascii="仿宋" w:hAnsi="仿宋" w:eastAsia="仿宋" w:cs="仿宋"/>
          <w:bCs/>
          <w:color w:val="auto"/>
          <w:sz w:val="32"/>
          <w:szCs w:val="32"/>
          <w:lang w:bidi="ar"/>
        </w:rPr>
      </w:pPr>
      <w:r>
        <w:rPr>
          <w:rFonts w:hint="eastAsia" w:ascii="黑体" w:hAnsi="黑体" w:eastAsia="黑体" w:cs="黑体"/>
          <w:bCs/>
          <w:color w:val="auto"/>
          <w:sz w:val="32"/>
          <w:szCs w:val="32"/>
          <w:lang w:eastAsia="zh-CN"/>
        </w:rPr>
        <w:t>附件</w:t>
      </w:r>
    </w:p>
    <w:p w14:paraId="36597AAA">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西藏自治区</w:t>
      </w:r>
      <w:r>
        <w:rPr>
          <w:rFonts w:hint="default" w:ascii="方正小标宋简体" w:hAnsi="方正小标宋简体" w:eastAsia="方正小标宋简体" w:cs="方正小标宋简体"/>
          <w:color w:val="auto"/>
          <w:sz w:val="44"/>
          <w:szCs w:val="44"/>
          <w:lang w:val="en-US" w:eastAsia="zh-CN"/>
        </w:rPr>
        <w:t>202</w:t>
      </w:r>
      <w:r>
        <w:rPr>
          <w:rFonts w:hint="eastAsia" w:ascii="方正小标宋简体" w:hAnsi="方正小标宋简体" w:eastAsia="方正小标宋简体" w:cs="方正小标宋简体"/>
          <w:color w:val="auto"/>
          <w:sz w:val="44"/>
          <w:szCs w:val="44"/>
          <w:lang w:val="en-US" w:eastAsia="zh-CN"/>
        </w:rPr>
        <w:t>5</w:t>
      </w:r>
      <w:r>
        <w:rPr>
          <w:rFonts w:hint="default" w:ascii="方正小标宋简体" w:hAnsi="方正小标宋简体" w:eastAsia="方正小标宋简体" w:cs="方正小标宋简体"/>
          <w:color w:val="auto"/>
          <w:sz w:val="44"/>
          <w:szCs w:val="44"/>
          <w:lang w:val="en-US" w:eastAsia="zh-CN"/>
        </w:rPr>
        <w:t>年度电信普遍服务</w:t>
      </w:r>
    </w:p>
    <w:p w14:paraId="38F9BB84">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补助资金绩效自评报告</w:t>
      </w:r>
    </w:p>
    <w:p w14:paraId="219D3EF9">
      <w:pPr>
        <w:keepNext w:val="0"/>
        <w:keepLines w:val="0"/>
        <w:pageBreakBefore w:val="0"/>
        <w:widowControl w:val="0"/>
        <w:kinsoku/>
        <w:wordWrap/>
        <w:overflowPunct/>
        <w:topLinePunct w:val="0"/>
        <w:autoSpaceDE w:val="0"/>
        <w:autoSpaceDN/>
        <w:bidi w:val="0"/>
        <w:adjustRightInd w:val="0"/>
        <w:snapToGrid w:val="0"/>
        <w:spacing w:line="579" w:lineRule="exact"/>
        <w:textAlignment w:val="auto"/>
        <w:rPr>
          <w:rFonts w:hint="default" w:ascii="Times New Roman" w:hAnsi="Times New Roman" w:eastAsia="黑体" w:cs="Times New Roman"/>
          <w:bCs/>
          <w:color w:val="auto"/>
          <w:sz w:val="32"/>
          <w:szCs w:val="32"/>
          <w:lang w:bidi="ar"/>
        </w:rPr>
      </w:pPr>
    </w:p>
    <w:p w14:paraId="527E4A5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default" w:ascii="黑体" w:hAnsi="黑体" w:eastAsia="黑体" w:cs="黑体"/>
          <w:color w:val="auto"/>
          <w:spacing w:val="0"/>
          <w:w w:val="100"/>
          <w:kern w:val="2"/>
          <w:sz w:val="32"/>
          <w:szCs w:val="32"/>
          <w:highlight w:val="none"/>
          <w:lang w:val="en-US" w:eastAsia="zh-CN"/>
        </w:rPr>
      </w:pPr>
      <w:r>
        <w:rPr>
          <w:rFonts w:hint="default" w:ascii="黑体" w:hAnsi="黑体" w:eastAsia="黑体" w:cs="黑体"/>
          <w:color w:val="auto"/>
          <w:spacing w:val="0"/>
          <w:w w:val="100"/>
          <w:kern w:val="2"/>
          <w:sz w:val="32"/>
          <w:szCs w:val="32"/>
          <w:highlight w:val="none"/>
          <w:lang w:val="en-US" w:eastAsia="zh-CN"/>
        </w:rPr>
        <w:t>一、绩效目标分解下达情况</w:t>
      </w:r>
    </w:p>
    <w:p w14:paraId="37824F1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楷体_GB2312" w:hAnsi="楷体_GB2312" w:eastAsia="楷体_GB2312" w:cs="楷体_GB2312"/>
          <w:color w:val="auto"/>
          <w:spacing w:val="0"/>
          <w:w w:val="100"/>
          <w:kern w:val="2"/>
          <w:sz w:val="32"/>
          <w:szCs w:val="32"/>
          <w:highlight w:val="none"/>
          <w:lang w:val="en-US" w:eastAsia="zh-CN"/>
        </w:rPr>
        <w:t>（一）中央批复下达转移支付预算、建设任务和绩效目标情况。</w:t>
      </w:r>
      <w:r>
        <w:rPr>
          <w:rFonts w:hint="eastAsia" w:ascii="仿宋" w:hAnsi="仿宋" w:eastAsia="仿宋" w:cs="仿宋"/>
          <w:color w:val="auto"/>
          <w:spacing w:val="0"/>
          <w:w w:val="100"/>
          <w:kern w:val="2"/>
          <w:sz w:val="32"/>
          <w:szCs w:val="32"/>
          <w:highlight w:val="none"/>
          <w:lang w:val="en-US" w:eastAsia="zh-CN"/>
        </w:rPr>
        <w:t>2024年8月，按照《工业和信息化部办公厅  财政部办公厅关于印发&lt;2025年度电信普遍服务申报指南&gt;的通知》（工信厅联通信函〔2024〕313号）要求，我局会同区财政厅、经济和信息化厅，组织地（市）行署（人民政府）衔接乡村振兴及强边工作部署开展2025年度电信普遍服务项目申报工作，对项目申报材料初审后将符合条件的申报方案报送至工业和信息化部。</w:t>
      </w:r>
    </w:p>
    <w:p w14:paraId="0922BD2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color w:val="auto"/>
          <w:spacing w:val="0"/>
          <w:w w:val="100"/>
          <w:kern w:val="2"/>
          <w:sz w:val="32"/>
          <w:szCs w:val="32"/>
          <w:highlight w:val="none"/>
          <w:lang w:val="en-US" w:eastAsia="zh-CN"/>
        </w:rPr>
        <w:t>2024年12月，工业和信息化部下达《关于2025年度电信普遍服务项目的复函》（工信部通信函〔2024〕387号），明确本批次电信普遍服务项目支持西藏建设957个5G基站。财政部于2024年10月和2025年4月分别下发《关于提前下达2025年电信普遍服务补助资金预算的通知》（财建〔2024〕368号）、《关于下达2025年电信普遍服务补助资金预算的通知》（财建〔2025〕76号），确定本批次财政补助资金48501万元。</w:t>
      </w:r>
    </w:p>
    <w:p w14:paraId="4BDE484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color w:val="auto"/>
          <w:spacing w:val="0"/>
          <w:w w:val="100"/>
          <w:kern w:val="2"/>
          <w:sz w:val="32"/>
          <w:szCs w:val="32"/>
          <w:highlight w:val="none"/>
          <w:lang w:val="en-US" w:eastAsia="zh-CN"/>
        </w:rPr>
        <w:t>2025年度西藏电信普遍服务补助资金设定产出指标、效益指标、满意度指标3项一级指标，设定数量指标、质量指标、时效指标、社会效益指标、服务对象满意度指标共5项二级指标，为全面反映项目执行情况，设定三级指标9项，并分别达到以下目标值：</w:t>
      </w:r>
      <w:r>
        <w:rPr>
          <w:rFonts w:hint="eastAsia" w:ascii="仿宋" w:hAnsi="仿宋" w:eastAsia="仿宋" w:cs="仿宋"/>
          <w:b/>
          <w:bCs/>
          <w:color w:val="auto"/>
          <w:spacing w:val="0"/>
          <w:w w:val="100"/>
          <w:kern w:val="2"/>
          <w:sz w:val="32"/>
          <w:szCs w:val="32"/>
          <w:highlight w:val="none"/>
          <w:lang w:val="en-US" w:eastAsia="zh-CN"/>
        </w:rPr>
        <w:t>一是</w:t>
      </w:r>
      <w:r>
        <w:rPr>
          <w:rFonts w:hint="eastAsia" w:ascii="仿宋" w:hAnsi="仿宋" w:eastAsia="仿宋" w:cs="仿宋"/>
          <w:color w:val="auto"/>
          <w:spacing w:val="0"/>
          <w:w w:val="100"/>
          <w:kern w:val="2"/>
          <w:sz w:val="32"/>
          <w:szCs w:val="32"/>
          <w:highlight w:val="none"/>
          <w:lang w:val="en-US" w:eastAsia="zh-CN"/>
        </w:rPr>
        <w:t>2项数量指标：部署边疆5G基站建设数量349个、部署行政村5G基站建设数量608个；</w:t>
      </w:r>
      <w:r>
        <w:rPr>
          <w:rFonts w:hint="eastAsia" w:ascii="仿宋" w:hAnsi="仿宋" w:eastAsia="仿宋" w:cs="仿宋"/>
          <w:b/>
          <w:bCs/>
          <w:color w:val="auto"/>
          <w:spacing w:val="0"/>
          <w:w w:val="100"/>
          <w:kern w:val="2"/>
          <w:sz w:val="32"/>
          <w:szCs w:val="32"/>
          <w:highlight w:val="none"/>
          <w:lang w:val="en-US" w:eastAsia="zh-CN"/>
        </w:rPr>
        <w:t>二是</w:t>
      </w:r>
      <w:r>
        <w:rPr>
          <w:rFonts w:hint="eastAsia" w:ascii="仿宋" w:hAnsi="仿宋" w:eastAsia="仿宋" w:cs="仿宋"/>
          <w:color w:val="auto"/>
          <w:spacing w:val="0"/>
          <w:w w:val="100"/>
          <w:kern w:val="2"/>
          <w:sz w:val="32"/>
          <w:szCs w:val="32"/>
          <w:highlight w:val="none"/>
          <w:lang w:val="en-US" w:eastAsia="zh-CN"/>
        </w:rPr>
        <w:t>2项质量指标：完工项目验收合格率≥99%、电信普遍服务基站运行稳定性≥95%；</w:t>
      </w:r>
      <w:r>
        <w:rPr>
          <w:rFonts w:hint="eastAsia" w:ascii="仿宋" w:hAnsi="仿宋" w:eastAsia="仿宋" w:cs="仿宋"/>
          <w:b/>
          <w:bCs/>
          <w:color w:val="auto"/>
          <w:spacing w:val="0"/>
          <w:w w:val="100"/>
          <w:kern w:val="2"/>
          <w:sz w:val="32"/>
          <w:szCs w:val="32"/>
          <w:highlight w:val="none"/>
          <w:lang w:val="en-US" w:eastAsia="zh-CN"/>
        </w:rPr>
        <w:t>三是</w:t>
      </w:r>
      <w:r>
        <w:rPr>
          <w:rFonts w:hint="eastAsia" w:ascii="仿宋" w:hAnsi="仿宋" w:eastAsia="仿宋" w:cs="仿宋"/>
          <w:color w:val="auto"/>
          <w:spacing w:val="0"/>
          <w:w w:val="100"/>
          <w:kern w:val="2"/>
          <w:sz w:val="32"/>
          <w:szCs w:val="32"/>
          <w:highlight w:val="none"/>
          <w:lang w:val="en-US" w:eastAsia="zh-CN"/>
        </w:rPr>
        <w:t>1项时效指标：按期完工率≥95%；</w:t>
      </w:r>
      <w:r>
        <w:rPr>
          <w:rFonts w:hint="eastAsia" w:ascii="仿宋" w:hAnsi="仿宋" w:eastAsia="仿宋" w:cs="仿宋"/>
          <w:b/>
          <w:bCs/>
          <w:color w:val="auto"/>
          <w:spacing w:val="0"/>
          <w:w w:val="100"/>
          <w:kern w:val="2"/>
          <w:sz w:val="32"/>
          <w:szCs w:val="32"/>
          <w:highlight w:val="none"/>
          <w:lang w:val="en-US" w:eastAsia="zh-CN"/>
        </w:rPr>
        <w:t>四是</w:t>
      </w:r>
      <w:r>
        <w:rPr>
          <w:rFonts w:hint="eastAsia" w:ascii="仿宋" w:hAnsi="仿宋" w:eastAsia="仿宋" w:cs="仿宋"/>
          <w:color w:val="auto"/>
          <w:spacing w:val="0"/>
          <w:w w:val="100"/>
          <w:kern w:val="2"/>
          <w:sz w:val="32"/>
          <w:szCs w:val="32"/>
          <w:highlight w:val="none"/>
          <w:lang w:val="en-US" w:eastAsia="zh-CN"/>
        </w:rPr>
        <w:t>3项社会效益指标：行政村通宽带比例100%、边疆地区重点场景通宽带比例≥95%、电信普遍服务基站网络下载速率≥100Mbps;</w:t>
      </w:r>
      <w:r>
        <w:rPr>
          <w:rFonts w:hint="eastAsia" w:ascii="仿宋" w:hAnsi="仿宋" w:eastAsia="仿宋" w:cs="仿宋"/>
          <w:b/>
          <w:bCs/>
          <w:color w:val="auto"/>
          <w:spacing w:val="0"/>
          <w:w w:val="100"/>
          <w:kern w:val="2"/>
          <w:sz w:val="32"/>
          <w:szCs w:val="32"/>
          <w:highlight w:val="none"/>
          <w:lang w:val="en-US" w:eastAsia="zh-CN"/>
        </w:rPr>
        <w:t>五是</w:t>
      </w:r>
      <w:r>
        <w:rPr>
          <w:rFonts w:hint="eastAsia" w:ascii="仿宋" w:hAnsi="仿宋" w:eastAsia="仿宋" w:cs="仿宋"/>
          <w:color w:val="auto"/>
          <w:spacing w:val="0"/>
          <w:w w:val="100"/>
          <w:kern w:val="2"/>
          <w:sz w:val="32"/>
          <w:szCs w:val="32"/>
          <w:highlight w:val="none"/>
          <w:lang w:val="en-US" w:eastAsia="zh-CN"/>
        </w:rPr>
        <w:t>1项服务对象满意度指标：电信普遍服务基站稳定提供信号服务的用户满意度≥95%。</w:t>
      </w:r>
    </w:p>
    <w:p w14:paraId="113174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pacing w:val="0"/>
          <w:w w:val="100"/>
          <w:kern w:val="2"/>
          <w:sz w:val="32"/>
          <w:szCs w:val="32"/>
          <w:highlight w:val="none"/>
          <w:lang w:val="en-US" w:eastAsia="zh-CN"/>
        </w:rPr>
      </w:pPr>
      <w:r>
        <w:rPr>
          <w:rFonts w:hint="eastAsia" w:ascii="楷体_GB2312" w:hAnsi="楷体_GB2312" w:eastAsia="楷体_GB2312" w:cs="楷体_GB2312"/>
          <w:color w:val="auto"/>
          <w:spacing w:val="0"/>
          <w:w w:val="100"/>
          <w:kern w:val="2"/>
          <w:sz w:val="32"/>
          <w:szCs w:val="32"/>
          <w:highlight w:val="none"/>
          <w:lang w:val="en-US" w:eastAsia="zh-CN"/>
        </w:rPr>
        <w:t>（二）区内资金安排、分解下达预算和绩效目标情况。</w:t>
      </w:r>
      <w:r>
        <w:rPr>
          <w:rFonts w:hint="eastAsia" w:ascii="仿宋" w:hAnsi="仿宋" w:eastAsia="仿宋" w:cs="仿宋"/>
          <w:color w:val="auto"/>
          <w:spacing w:val="0"/>
          <w:w w:val="100"/>
          <w:kern w:val="2"/>
          <w:sz w:val="32"/>
          <w:szCs w:val="32"/>
          <w:highlight w:val="none"/>
          <w:lang w:val="en-US" w:eastAsia="zh-CN"/>
        </w:rPr>
        <w:t>区财政厅于2025年1月和5月通过《关于批复2025年本级部门预算的批复》（藏财建〔2025〕6号）、《关于下达2025年度电信普遍服务项目补助资金预算指标的通知》，将中央补助资金48501万元全额下达至西藏自治区通信管理局。区内绩效目标情况与中央一致。</w:t>
      </w:r>
    </w:p>
    <w:p w14:paraId="797D871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lang w:val="en-US" w:eastAsia="zh-CN"/>
        </w:rPr>
      </w:pPr>
      <w:r>
        <w:rPr>
          <w:rFonts w:hint="eastAsia" w:ascii="楷体_GB2312" w:hAnsi="楷体_GB2312" w:eastAsia="楷体_GB2312" w:cs="楷体_GB2312"/>
          <w:color w:val="auto"/>
          <w:spacing w:val="0"/>
          <w:w w:val="100"/>
          <w:kern w:val="2"/>
          <w:sz w:val="32"/>
          <w:szCs w:val="32"/>
          <w:highlight w:val="none"/>
          <w:lang w:val="en-US" w:eastAsia="zh-CN"/>
        </w:rPr>
        <w:t>（三）区内建设任务、资金安排调整及备案情况。</w:t>
      </w:r>
      <w:r>
        <w:rPr>
          <w:rFonts w:hint="eastAsia" w:ascii="仿宋" w:hAnsi="仿宋" w:eastAsia="仿宋" w:cs="仿宋"/>
          <w:color w:val="auto"/>
          <w:spacing w:val="0"/>
          <w:w w:val="100"/>
          <w:kern w:val="2"/>
          <w:sz w:val="32"/>
          <w:szCs w:val="32"/>
          <w:highlight w:val="none"/>
          <w:lang w:val="en-US" w:eastAsia="zh-CN"/>
        </w:rPr>
        <w:t>西藏本批次项目按照工业和信息化部批复的建设情况及财政部批复的补助资金情况实施，地市间未作任务调整。</w:t>
      </w:r>
    </w:p>
    <w:p w14:paraId="526483AC">
      <w:pPr>
        <w:keepNext w:val="0"/>
        <w:keepLines w:val="0"/>
        <w:pageBreakBefore w:val="0"/>
        <w:widowControl w:val="0"/>
        <w:kinsoku/>
        <w:wordWrap/>
        <w:overflowPunct/>
        <w:topLinePunct w:val="0"/>
        <w:autoSpaceDE w:val="0"/>
        <w:autoSpaceDN/>
        <w:bidi w:val="0"/>
        <w:adjustRightInd w:val="0"/>
        <w:snapToGrid w:val="0"/>
        <w:spacing w:line="579" w:lineRule="exact"/>
        <w:ind w:firstLine="640" w:firstLineChars="200"/>
        <w:jc w:val="both"/>
        <w:textAlignment w:val="auto"/>
        <w:outlineLvl w:val="9"/>
        <w:rPr>
          <w:rFonts w:hint="default" w:ascii="Times New Roman" w:hAnsi="Times New Roman" w:eastAsia="黑体" w:cs="Times New Roman"/>
          <w:bCs/>
          <w:color w:val="auto"/>
          <w:spacing w:val="0"/>
          <w:sz w:val="32"/>
          <w:szCs w:val="32"/>
          <w:highlight w:val="none"/>
        </w:rPr>
      </w:pPr>
      <w:r>
        <w:rPr>
          <w:rFonts w:hint="default" w:ascii="Times New Roman" w:hAnsi="Times New Roman" w:eastAsia="黑体" w:cs="Times New Roman"/>
          <w:bCs/>
          <w:color w:val="auto"/>
          <w:spacing w:val="0"/>
          <w:sz w:val="32"/>
          <w:szCs w:val="32"/>
          <w:highlight w:val="none"/>
          <w:lang w:bidi="ar"/>
        </w:rPr>
        <w:t>二、绩效情况分析</w:t>
      </w:r>
    </w:p>
    <w:p w14:paraId="683EAC7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ascii="楷体_GB2312" w:hAnsi="楷体_GB2312" w:eastAsia="楷体_GB2312" w:cs="楷体_GB2312"/>
          <w:color w:val="auto"/>
          <w:spacing w:val="0"/>
          <w:w w:val="100"/>
          <w:kern w:val="2"/>
          <w:sz w:val="32"/>
          <w:szCs w:val="32"/>
          <w:highlight w:val="none"/>
          <w:lang w:val="en-US" w:eastAsia="zh-CN"/>
        </w:rPr>
      </w:pPr>
      <w:r>
        <w:rPr>
          <w:rFonts w:hint="eastAsia" w:ascii="楷体_GB2312" w:hAnsi="楷体_GB2312" w:eastAsia="楷体_GB2312" w:cs="楷体_GB2312"/>
          <w:color w:val="auto"/>
          <w:spacing w:val="0"/>
          <w:w w:val="100"/>
          <w:kern w:val="2"/>
          <w:sz w:val="32"/>
          <w:szCs w:val="32"/>
          <w:highlight w:val="none"/>
          <w:lang w:val="en-US" w:eastAsia="zh-CN"/>
        </w:rPr>
        <w:t>（一）资金投入情况分析</w:t>
      </w:r>
    </w:p>
    <w:p w14:paraId="030DC09E">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1.财政资金由区内拨付至企业情况。</w:t>
      </w:r>
      <w:r>
        <w:rPr>
          <w:rFonts w:hint="eastAsia" w:ascii="仿宋" w:hAnsi="仿宋" w:eastAsia="仿宋" w:cs="仿宋"/>
          <w:color w:val="auto"/>
          <w:spacing w:val="0"/>
          <w:w w:val="100"/>
          <w:kern w:val="2"/>
          <w:sz w:val="32"/>
          <w:szCs w:val="32"/>
          <w:highlight w:val="none"/>
          <w:lang w:val="en-US" w:eastAsia="zh-CN"/>
        </w:rPr>
        <w:t>本批次项目中央补助资金于2025年5月到位，由自治区财政厅下达，专款专用于电信普遍服务项目建设及后期运行维护补贴。</w:t>
      </w:r>
    </w:p>
    <w:p w14:paraId="66513BC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仿宋_GB2312" w:hAnsi="仿宋_GB2312" w:eastAsia="仿宋_GB2312" w:cs="仿宋_GB2312"/>
          <w:color w:val="auto"/>
          <w:spacing w:val="0"/>
          <w:w w:val="100"/>
          <w:kern w:val="2"/>
          <w:sz w:val="32"/>
          <w:szCs w:val="32"/>
          <w:highlight w:val="none"/>
          <w:lang w:val="en-US" w:eastAsia="zh-CN"/>
        </w:rPr>
      </w:pPr>
      <w:r>
        <w:rPr>
          <w:rFonts w:hint="eastAsia" w:ascii="仿宋" w:hAnsi="仿宋" w:eastAsia="仿宋" w:cs="仿宋"/>
          <w:color w:val="auto"/>
          <w:spacing w:val="0"/>
          <w:w w:val="100"/>
          <w:kern w:val="2"/>
          <w:sz w:val="32"/>
          <w:szCs w:val="32"/>
          <w:highlight w:val="none"/>
          <w:lang w:val="en-US" w:eastAsia="zh-CN"/>
        </w:rPr>
        <w:t>2025年度西藏电信普遍服务项目合同金额为到位中央补助资金，即48501万元。按照工业和信息化部《关于2025年度电信普遍服务项目的复函》（工信部通信函〔2024〕387号）中“实施企业确定后，各地通信管理局应在年度项目批复后6个月内与其签订实施合同，约定原则上一次性全额支付补助资金。”的要求，项目合同中拨付方式及拨付比例约定为“</w:t>
      </w:r>
      <w:r>
        <w:rPr>
          <w:rFonts w:hint="eastAsia" w:ascii="仿宋" w:hAnsi="仿宋" w:eastAsia="仿宋"/>
          <w:sz w:val="32"/>
          <w:szCs w:val="32"/>
          <w:highlight w:val="none"/>
        </w:rPr>
        <w:t>乙方需在15日内以书面形式向甲方提供该项目实施方案（一式三份），甲方审核通过后向乙方支付合同总金额的100%（到位中央财政补贴资金）</w:t>
      </w:r>
      <w:r>
        <w:rPr>
          <w:rFonts w:hint="eastAsia" w:ascii="仿宋" w:hAnsi="仿宋" w:eastAsia="仿宋" w:cs="仿宋"/>
          <w:color w:val="auto"/>
          <w:spacing w:val="0"/>
          <w:w w:val="100"/>
          <w:kern w:val="2"/>
          <w:sz w:val="32"/>
          <w:szCs w:val="32"/>
          <w:highlight w:val="none"/>
          <w:lang w:val="en-US" w:eastAsia="zh-CN"/>
        </w:rPr>
        <w:t>”。2025年6月，西藏自治区通信管理局已按程序将中央财政补助资金全额拨付至承建企业。</w:t>
      </w:r>
    </w:p>
    <w:p w14:paraId="7808AEFB">
      <w:pPr>
        <w:keepNext w:val="0"/>
        <w:keepLines w:val="0"/>
        <w:pageBreakBefore w:val="0"/>
        <w:widowControl w:val="0"/>
        <w:numPr>
          <w:ilvl w:val="0"/>
          <w:numId w:val="0"/>
        </w:numPr>
        <w:kinsoku/>
        <w:wordWrap/>
        <w:overflowPunct/>
        <w:topLinePunct w:val="0"/>
        <w:autoSpaceDE w:val="0"/>
        <w:autoSpaceDN/>
        <w:bidi w:val="0"/>
        <w:adjustRightInd w:val="0"/>
        <w:snapToGrid w:val="0"/>
        <w:spacing w:line="579" w:lineRule="exact"/>
        <w:ind w:firstLine="643" w:firstLineChars="200"/>
        <w:jc w:val="both"/>
        <w:textAlignment w:val="auto"/>
        <w:outlineLvl w:val="9"/>
        <w:rPr>
          <w:rFonts w:hint="default"/>
        </w:rPr>
      </w:pPr>
      <w:r>
        <w:rPr>
          <w:rFonts w:hint="eastAsia" w:ascii="仿宋" w:hAnsi="仿宋" w:eastAsia="仿宋" w:cs="仿宋"/>
          <w:b/>
          <w:bCs/>
          <w:color w:val="auto"/>
          <w:spacing w:val="0"/>
          <w:w w:val="100"/>
          <w:kern w:val="2"/>
          <w:sz w:val="32"/>
          <w:szCs w:val="32"/>
          <w:highlight w:val="none"/>
          <w:lang w:val="en-US" w:eastAsia="zh-CN"/>
        </w:rPr>
        <w:t>2.财政资金实际使用情况。</w:t>
      </w:r>
      <w:r>
        <w:rPr>
          <w:rFonts w:hint="eastAsia" w:ascii="仿宋" w:hAnsi="仿宋" w:eastAsia="仿宋" w:cs="仿宋"/>
          <w:b w:val="0"/>
          <w:bCs w:val="0"/>
          <w:color w:val="auto"/>
          <w:spacing w:val="0"/>
          <w:w w:val="100"/>
          <w:kern w:val="2"/>
          <w:sz w:val="32"/>
          <w:szCs w:val="32"/>
          <w:highlight w:val="none"/>
          <w:lang w:val="en-US" w:eastAsia="zh-CN"/>
        </w:rPr>
        <w:t>2025年度西藏电信普遍服务项目未调减建设任务，且承建企业投标报价等于招标限价，实际建设量及补助资金份额与部委批复一致，未产生结余资金，财政补助资金实际使用率达到100%。</w:t>
      </w:r>
    </w:p>
    <w:tbl>
      <w:tblPr>
        <w:tblStyle w:val="9"/>
        <w:tblpPr w:leftFromText="180" w:rightFromText="180" w:vertAnchor="text" w:horzAnchor="page" w:tblpX="1740" w:tblpY="575"/>
        <w:tblOverlap w:val="never"/>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30"/>
        <w:gridCol w:w="1714"/>
        <w:gridCol w:w="913"/>
        <w:gridCol w:w="941"/>
        <w:gridCol w:w="963"/>
        <w:gridCol w:w="1777"/>
        <w:gridCol w:w="719"/>
      </w:tblGrid>
      <w:tr w14:paraId="2A42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5" w:type="dxa"/>
            <w:noWrap w:val="0"/>
            <w:vAlign w:val="center"/>
          </w:tcPr>
          <w:p w14:paraId="038DEE02">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序号</w:t>
            </w:r>
          </w:p>
        </w:tc>
        <w:tc>
          <w:tcPr>
            <w:tcW w:w="1230" w:type="dxa"/>
            <w:noWrap w:val="0"/>
            <w:vAlign w:val="center"/>
          </w:tcPr>
          <w:p w14:paraId="3011A6FD">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拨付对象</w:t>
            </w:r>
          </w:p>
        </w:tc>
        <w:tc>
          <w:tcPr>
            <w:tcW w:w="1714" w:type="dxa"/>
            <w:noWrap w:val="0"/>
            <w:vAlign w:val="center"/>
          </w:tcPr>
          <w:p w14:paraId="3D8FDF2F">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合同名称</w:t>
            </w:r>
          </w:p>
        </w:tc>
        <w:tc>
          <w:tcPr>
            <w:tcW w:w="913" w:type="dxa"/>
            <w:noWrap w:val="0"/>
            <w:vAlign w:val="center"/>
          </w:tcPr>
          <w:p w14:paraId="6D813564">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批复金额（万元）</w:t>
            </w:r>
          </w:p>
        </w:tc>
        <w:tc>
          <w:tcPr>
            <w:tcW w:w="941" w:type="dxa"/>
            <w:noWrap w:val="0"/>
            <w:vAlign w:val="center"/>
          </w:tcPr>
          <w:p w14:paraId="74BD39BF">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合同金额（万元）</w:t>
            </w:r>
          </w:p>
        </w:tc>
        <w:tc>
          <w:tcPr>
            <w:tcW w:w="963" w:type="dxa"/>
            <w:noWrap w:val="0"/>
            <w:vAlign w:val="center"/>
          </w:tcPr>
          <w:p w14:paraId="7C1A2E57">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sz w:val="18"/>
                <w:szCs w:val="18"/>
                <w:lang w:val="en-US" w:eastAsia="zh-CN" w:bidi="ar"/>
              </w:rPr>
              <w:t>批复与合同差额</w:t>
            </w:r>
          </w:p>
        </w:tc>
        <w:tc>
          <w:tcPr>
            <w:tcW w:w="1777" w:type="dxa"/>
            <w:noWrap w:val="0"/>
            <w:vAlign w:val="center"/>
          </w:tcPr>
          <w:p w14:paraId="665E8080">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拨付方式及比例</w:t>
            </w:r>
          </w:p>
        </w:tc>
        <w:tc>
          <w:tcPr>
            <w:tcW w:w="719" w:type="dxa"/>
            <w:noWrap w:val="0"/>
            <w:vAlign w:val="center"/>
          </w:tcPr>
          <w:p w14:paraId="59DF5E33">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实际拨付金额</w:t>
            </w:r>
          </w:p>
        </w:tc>
      </w:tr>
      <w:tr w14:paraId="29F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dxa"/>
            <w:noWrap w:val="0"/>
            <w:vAlign w:val="center"/>
          </w:tcPr>
          <w:p w14:paraId="6839497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1</w:t>
            </w:r>
          </w:p>
        </w:tc>
        <w:tc>
          <w:tcPr>
            <w:tcW w:w="1230" w:type="dxa"/>
            <w:noWrap w:val="0"/>
            <w:vAlign w:val="center"/>
          </w:tcPr>
          <w:p w14:paraId="4409DD5F">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中国电信集团有限公司西藏分公司</w:t>
            </w:r>
          </w:p>
        </w:tc>
        <w:tc>
          <w:tcPr>
            <w:tcW w:w="1714" w:type="dxa"/>
            <w:noWrap w:val="0"/>
            <w:vAlign w:val="center"/>
          </w:tcPr>
          <w:p w14:paraId="0AA12AA9">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2025年度西藏电信普遍服务项目（行政村2）</w:t>
            </w:r>
          </w:p>
        </w:tc>
        <w:tc>
          <w:tcPr>
            <w:tcW w:w="913" w:type="dxa"/>
            <w:vMerge w:val="restart"/>
            <w:noWrap w:val="0"/>
            <w:vAlign w:val="center"/>
          </w:tcPr>
          <w:p w14:paraId="5CCE1012">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p>
          <w:p w14:paraId="4050B789">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bidi="ar-SA"/>
              </w:rPr>
              <w:t>11856.00</w:t>
            </w:r>
          </w:p>
        </w:tc>
        <w:tc>
          <w:tcPr>
            <w:tcW w:w="941" w:type="dxa"/>
            <w:noWrap w:val="0"/>
            <w:vAlign w:val="center"/>
          </w:tcPr>
          <w:p w14:paraId="6475B065">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both"/>
              <w:textAlignment w:val="center"/>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i w:val="0"/>
                <w:iCs w:val="0"/>
                <w:color w:val="auto"/>
                <w:spacing w:val="-11"/>
                <w:kern w:val="0"/>
                <w:sz w:val="18"/>
                <w:szCs w:val="18"/>
                <w:u w:val="none"/>
                <w:lang w:val="en-US" w:eastAsia="zh-CN" w:bidi="ar"/>
              </w:rPr>
              <w:t>4641.00</w:t>
            </w:r>
          </w:p>
        </w:tc>
        <w:tc>
          <w:tcPr>
            <w:tcW w:w="963" w:type="dxa"/>
            <w:noWrap w:val="0"/>
            <w:vAlign w:val="center"/>
          </w:tcPr>
          <w:p w14:paraId="7D94176F">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0</w:t>
            </w:r>
          </w:p>
        </w:tc>
        <w:tc>
          <w:tcPr>
            <w:tcW w:w="1777" w:type="dxa"/>
            <w:noWrap w:val="0"/>
            <w:vAlign w:val="center"/>
          </w:tcPr>
          <w:p w14:paraId="04612CA1">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一次性全额拨付合同总金额（到位中央财政补贴资金）</w:t>
            </w:r>
          </w:p>
        </w:tc>
        <w:tc>
          <w:tcPr>
            <w:tcW w:w="719" w:type="dxa"/>
            <w:noWrap w:val="0"/>
            <w:vAlign w:val="center"/>
          </w:tcPr>
          <w:p w14:paraId="0DF93AD2">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100%</w:t>
            </w:r>
          </w:p>
        </w:tc>
      </w:tr>
      <w:tr w14:paraId="1D28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85" w:type="dxa"/>
            <w:noWrap w:val="0"/>
            <w:vAlign w:val="center"/>
          </w:tcPr>
          <w:p w14:paraId="70598B61">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w:t>
            </w:r>
          </w:p>
        </w:tc>
        <w:tc>
          <w:tcPr>
            <w:tcW w:w="1230" w:type="dxa"/>
            <w:noWrap w:val="0"/>
            <w:vAlign w:val="center"/>
          </w:tcPr>
          <w:p w14:paraId="5C602AE1">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中国移动通信集团西藏有限公司</w:t>
            </w:r>
          </w:p>
        </w:tc>
        <w:tc>
          <w:tcPr>
            <w:tcW w:w="1714" w:type="dxa"/>
            <w:noWrap w:val="0"/>
            <w:vAlign w:val="center"/>
          </w:tcPr>
          <w:p w14:paraId="6AF02B0B">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2025年度西藏电信普遍服务项目（行政村1）</w:t>
            </w:r>
          </w:p>
        </w:tc>
        <w:tc>
          <w:tcPr>
            <w:tcW w:w="913" w:type="dxa"/>
            <w:vMerge w:val="continue"/>
            <w:noWrap w:val="0"/>
            <w:vAlign w:val="center"/>
          </w:tcPr>
          <w:p w14:paraId="19B7C144">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p>
        </w:tc>
        <w:tc>
          <w:tcPr>
            <w:tcW w:w="941" w:type="dxa"/>
            <w:noWrap w:val="0"/>
            <w:vAlign w:val="center"/>
          </w:tcPr>
          <w:p w14:paraId="246AD9B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both"/>
              <w:textAlignment w:val="center"/>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i w:val="0"/>
                <w:iCs w:val="0"/>
                <w:color w:val="auto"/>
                <w:spacing w:val="-11"/>
                <w:kern w:val="0"/>
                <w:sz w:val="18"/>
                <w:szCs w:val="18"/>
                <w:u w:val="none"/>
                <w:lang w:val="en-US" w:eastAsia="zh-CN" w:bidi="ar"/>
              </w:rPr>
              <w:t>5284.50</w:t>
            </w:r>
          </w:p>
        </w:tc>
        <w:tc>
          <w:tcPr>
            <w:tcW w:w="963" w:type="dxa"/>
            <w:noWrap w:val="0"/>
            <w:vAlign w:val="center"/>
          </w:tcPr>
          <w:p w14:paraId="68C16DA4">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0</w:t>
            </w:r>
          </w:p>
        </w:tc>
        <w:tc>
          <w:tcPr>
            <w:tcW w:w="1777" w:type="dxa"/>
            <w:noWrap w:val="0"/>
            <w:vAlign w:val="center"/>
          </w:tcPr>
          <w:p w14:paraId="3AD9E37A">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一次性全额拨付合同总金额（到位中央财政补贴资金）</w:t>
            </w:r>
          </w:p>
        </w:tc>
        <w:tc>
          <w:tcPr>
            <w:tcW w:w="719" w:type="dxa"/>
            <w:noWrap w:val="0"/>
            <w:vAlign w:val="center"/>
          </w:tcPr>
          <w:p w14:paraId="5956DEAC">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100%</w:t>
            </w:r>
          </w:p>
        </w:tc>
      </w:tr>
      <w:tr w14:paraId="04E6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85" w:type="dxa"/>
            <w:noWrap w:val="0"/>
            <w:vAlign w:val="center"/>
          </w:tcPr>
          <w:p w14:paraId="35C115AB">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3</w:t>
            </w:r>
          </w:p>
        </w:tc>
        <w:tc>
          <w:tcPr>
            <w:tcW w:w="1230" w:type="dxa"/>
            <w:noWrap w:val="0"/>
            <w:vAlign w:val="center"/>
          </w:tcPr>
          <w:p w14:paraId="53BA5900">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中国联合网络通信有限公司西藏自治区分公司</w:t>
            </w:r>
          </w:p>
        </w:tc>
        <w:tc>
          <w:tcPr>
            <w:tcW w:w="1714" w:type="dxa"/>
            <w:noWrap w:val="0"/>
            <w:vAlign w:val="center"/>
          </w:tcPr>
          <w:p w14:paraId="7B8D1D30">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2025年度西藏电信普遍服务项目（行政村3）</w:t>
            </w:r>
          </w:p>
        </w:tc>
        <w:tc>
          <w:tcPr>
            <w:tcW w:w="913" w:type="dxa"/>
            <w:vMerge w:val="continue"/>
            <w:noWrap w:val="0"/>
            <w:vAlign w:val="center"/>
          </w:tcPr>
          <w:p w14:paraId="6AE8052B">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p>
        </w:tc>
        <w:tc>
          <w:tcPr>
            <w:tcW w:w="941" w:type="dxa"/>
            <w:noWrap w:val="0"/>
            <w:vAlign w:val="center"/>
          </w:tcPr>
          <w:p w14:paraId="111EE70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both"/>
              <w:textAlignment w:val="center"/>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i w:val="0"/>
                <w:iCs w:val="0"/>
                <w:color w:val="auto"/>
                <w:spacing w:val="-11"/>
                <w:kern w:val="0"/>
                <w:sz w:val="18"/>
                <w:szCs w:val="18"/>
                <w:u w:val="none"/>
                <w:lang w:val="en-US" w:eastAsia="zh-CN" w:bidi="ar"/>
              </w:rPr>
              <w:t>1930.50</w:t>
            </w:r>
          </w:p>
        </w:tc>
        <w:tc>
          <w:tcPr>
            <w:tcW w:w="963" w:type="dxa"/>
            <w:noWrap w:val="0"/>
            <w:vAlign w:val="center"/>
          </w:tcPr>
          <w:p w14:paraId="74A030B5">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0</w:t>
            </w:r>
          </w:p>
        </w:tc>
        <w:tc>
          <w:tcPr>
            <w:tcW w:w="1777" w:type="dxa"/>
            <w:noWrap w:val="0"/>
            <w:vAlign w:val="center"/>
          </w:tcPr>
          <w:p w14:paraId="7A5D0DE0">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一次性全额拨付合同总金额（到位中央财政补贴资金）</w:t>
            </w:r>
          </w:p>
        </w:tc>
        <w:tc>
          <w:tcPr>
            <w:tcW w:w="719" w:type="dxa"/>
            <w:noWrap w:val="0"/>
            <w:vAlign w:val="center"/>
          </w:tcPr>
          <w:p w14:paraId="3B848CBD">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100%</w:t>
            </w:r>
          </w:p>
        </w:tc>
      </w:tr>
      <w:tr w14:paraId="4301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85" w:type="dxa"/>
            <w:noWrap w:val="0"/>
            <w:vAlign w:val="center"/>
          </w:tcPr>
          <w:p w14:paraId="7FEBFE10">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4</w:t>
            </w:r>
          </w:p>
        </w:tc>
        <w:tc>
          <w:tcPr>
            <w:tcW w:w="1230" w:type="dxa"/>
            <w:noWrap w:val="0"/>
            <w:vAlign w:val="center"/>
          </w:tcPr>
          <w:p w14:paraId="419352C8">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中国电信集团有限公司西藏分公司</w:t>
            </w:r>
          </w:p>
        </w:tc>
        <w:tc>
          <w:tcPr>
            <w:tcW w:w="1714" w:type="dxa"/>
            <w:noWrap w:val="0"/>
            <w:vAlign w:val="center"/>
          </w:tcPr>
          <w:p w14:paraId="2C57579C">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2025年度西藏电信普遍服务项目（边疆2）</w:t>
            </w:r>
          </w:p>
        </w:tc>
        <w:tc>
          <w:tcPr>
            <w:tcW w:w="913" w:type="dxa"/>
            <w:vMerge w:val="restart"/>
            <w:noWrap w:val="0"/>
            <w:vAlign w:val="center"/>
          </w:tcPr>
          <w:p w14:paraId="42D1177F">
            <w:pPr>
              <w:keepNext w:val="0"/>
              <w:keepLines w:val="0"/>
              <w:pageBreakBefore w:val="0"/>
              <w:widowControl w:val="0"/>
              <w:kinsoku/>
              <w:wordWrap/>
              <w:overflowPunct/>
              <w:topLinePunct w:val="0"/>
              <w:autoSpaceDE/>
              <w:autoSpaceDN/>
              <w:bidi w:val="0"/>
              <w:adjustRightInd/>
              <w:snapToGrid/>
              <w:spacing w:line="200" w:lineRule="exact"/>
              <w:ind w:firstLine="0" w:firstLineChars="0"/>
              <w:jc w:val="both"/>
              <w:textAlignment w:val="auto"/>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bidi="ar-SA"/>
              </w:rPr>
              <w:t>36645.00</w:t>
            </w:r>
          </w:p>
        </w:tc>
        <w:tc>
          <w:tcPr>
            <w:tcW w:w="941" w:type="dxa"/>
            <w:noWrap w:val="0"/>
            <w:vAlign w:val="center"/>
          </w:tcPr>
          <w:p w14:paraId="3B744AF4">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both"/>
              <w:textAlignment w:val="center"/>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i w:val="0"/>
                <w:iCs w:val="0"/>
                <w:color w:val="auto"/>
                <w:spacing w:val="-11"/>
                <w:kern w:val="0"/>
                <w:sz w:val="18"/>
                <w:szCs w:val="18"/>
                <w:u w:val="none"/>
                <w:lang w:val="en-US" w:eastAsia="zh-CN" w:bidi="ar"/>
              </w:rPr>
              <w:t xml:space="preserve">14490.00 </w:t>
            </w:r>
          </w:p>
        </w:tc>
        <w:tc>
          <w:tcPr>
            <w:tcW w:w="963" w:type="dxa"/>
            <w:noWrap w:val="0"/>
            <w:vAlign w:val="center"/>
          </w:tcPr>
          <w:p w14:paraId="1CE21155">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0</w:t>
            </w:r>
          </w:p>
        </w:tc>
        <w:tc>
          <w:tcPr>
            <w:tcW w:w="1777" w:type="dxa"/>
            <w:noWrap w:val="0"/>
            <w:vAlign w:val="center"/>
          </w:tcPr>
          <w:p w14:paraId="55BF46B6">
            <w:pPr>
              <w:keepNext w:val="0"/>
              <w:keepLines w:val="0"/>
              <w:pageBreakBefore w:val="0"/>
              <w:widowControl w:val="0"/>
              <w:kinsoku/>
              <w:wordWrap/>
              <w:overflowPunct/>
              <w:topLinePunct w:val="0"/>
              <w:autoSpaceDE/>
              <w:autoSpaceDN/>
              <w:bidi w:val="0"/>
              <w:adjustRightInd/>
              <w:snapToGrid/>
              <w:spacing w:line="200" w:lineRule="exact"/>
              <w:ind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一次性全额拨付合同总金额（到位中央财政补贴资金）</w:t>
            </w:r>
          </w:p>
        </w:tc>
        <w:tc>
          <w:tcPr>
            <w:tcW w:w="719" w:type="dxa"/>
            <w:noWrap w:val="0"/>
            <w:vAlign w:val="center"/>
          </w:tcPr>
          <w:p w14:paraId="4D6CC1C9">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100%</w:t>
            </w:r>
          </w:p>
        </w:tc>
      </w:tr>
      <w:tr w14:paraId="4464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85" w:type="dxa"/>
            <w:noWrap w:val="0"/>
            <w:vAlign w:val="center"/>
          </w:tcPr>
          <w:p w14:paraId="2F09B3FB">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5</w:t>
            </w:r>
          </w:p>
        </w:tc>
        <w:tc>
          <w:tcPr>
            <w:tcW w:w="1230" w:type="dxa"/>
            <w:noWrap w:val="0"/>
            <w:vAlign w:val="center"/>
          </w:tcPr>
          <w:p w14:paraId="59F87DF4">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中国移动通信集团西藏有限公司</w:t>
            </w:r>
          </w:p>
        </w:tc>
        <w:tc>
          <w:tcPr>
            <w:tcW w:w="1714" w:type="dxa"/>
            <w:noWrap w:val="0"/>
            <w:vAlign w:val="center"/>
          </w:tcPr>
          <w:p w14:paraId="63A037ED">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2025年度西藏电信普遍服务项目（边疆1）</w:t>
            </w:r>
          </w:p>
        </w:tc>
        <w:tc>
          <w:tcPr>
            <w:tcW w:w="913" w:type="dxa"/>
            <w:vMerge w:val="continue"/>
            <w:noWrap w:val="0"/>
            <w:vAlign w:val="center"/>
          </w:tcPr>
          <w:p w14:paraId="56C4750D">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p>
        </w:tc>
        <w:tc>
          <w:tcPr>
            <w:tcW w:w="941" w:type="dxa"/>
            <w:noWrap w:val="0"/>
            <w:vAlign w:val="center"/>
          </w:tcPr>
          <w:p w14:paraId="2DA28987">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both"/>
              <w:textAlignment w:val="center"/>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i w:val="0"/>
                <w:iCs w:val="0"/>
                <w:color w:val="auto"/>
                <w:spacing w:val="-11"/>
                <w:kern w:val="0"/>
                <w:sz w:val="18"/>
                <w:szCs w:val="18"/>
                <w:u w:val="none"/>
                <w:lang w:val="en-US" w:eastAsia="zh-CN" w:bidi="ar"/>
              </w:rPr>
              <w:t>15960.00</w:t>
            </w:r>
          </w:p>
        </w:tc>
        <w:tc>
          <w:tcPr>
            <w:tcW w:w="963" w:type="dxa"/>
            <w:noWrap w:val="0"/>
            <w:vAlign w:val="center"/>
          </w:tcPr>
          <w:p w14:paraId="1C00A34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0</w:t>
            </w:r>
          </w:p>
        </w:tc>
        <w:tc>
          <w:tcPr>
            <w:tcW w:w="1777" w:type="dxa"/>
            <w:noWrap w:val="0"/>
            <w:vAlign w:val="center"/>
          </w:tcPr>
          <w:p w14:paraId="66D24A6D">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一次性全额拨付合同总金额（到位中央财政补贴资金）</w:t>
            </w:r>
          </w:p>
        </w:tc>
        <w:tc>
          <w:tcPr>
            <w:tcW w:w="719" w:type="dxa"/>
            <w:noWrap w:val="0"/>
            <w:vAlign w:val="center"/>
          </w:tcPr>
          <w:p w14:paraId="06579A4E">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100%</w:t>
            </w:r>
          </w:p>
        </w:tc>
      </w:tr>
      <w:tr w14:paraId="2F50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485" w:type="dxa"/>
            <w:noWrap w:val="0"/>
            <w:vAlign w:val="center"/>
          </w:tcPr>
          <w:p w14:paraId="3FEDC84D">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6</w:t>
            </w:r>
          </w:p>
        </w:tc>
        <w:tc>
          <w:tcPr>
            <w:tcW w:w="1230" w:type="dxa"/>
            <w:noWrap w:val="0"/>
            <w:vAlign w:val="center"/>
          </w:tcPr>
          <w:p w14:paraId="0027938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中国联合网络通信有限公司西藏自治区分公司</w:t>
            </w:r>
          </w:p>
        </w:tc>
        <w:tc>
          <w:tcPr>
            <w:tcW w:w="1714" w:type="dxa"/>
            <w:noWrap w:val="0"/>
            <w:vAlign w:val="center"/>
          </w:tcPr>
          <w:p w14:paraId="1C6FD8F8">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color w:val="auto"/>
                <w:spacing w:val="-11"/>
                <w:w w:val="100"/>
                <w:kern w:val="2"/>
                <w:sz w:val="18"/>
                <w:szCs w:val="18"/>
                <w:highlight w:val="none"/>
                <w:vertAlign w:val="baseline"/>
                <w:lang w:val="en-US" w:eastAsia="zh-CN"/>
              </w:rPr>
              <w:t>2025年度西藏电信普遍服务项目（边疆3）</w:t>
            </w:r>
          </w:p>
        </w:tc>
        <w:tc>
          <w:tcPr>
            <w:tcW w:w="913" w:type="dxa"/>
            <w:vMerge w:val="continue"/>
            <w:noWrap w:val="0"/>
            <w:vAlign w:val="center"/>
          </w:tcPr>
          <w:p w14:paraId="1C5CC88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outlineLvl w:val="9"/>
              <w:rPr>
                <w:rFonts w:hint="eastAsia" w:ascii="仿宋" w:hAnsi="仿宋" w:eastAsia="仿宋" w:cs="仿宋"/>
                <w:color w:val="auto"/>
                <w:spacing w:val="-11"/>
                <w:w w:val="100"/>
                <w:kern w:val="2"/>
                <w:sz w:val="18"/>
                <w:szCs w:val="18"/>
                <w:highlight w:val="none"/>
                <w:vertAlign w:val="baseline"/>
                <w:lang w:val="en-US" w:eastAsia="zh-CN" w:bidi="ar-SA"/>
              </w:rPr>
            </w:pPr>
          </w:p>
        </w:tc>
        <w:tc>
          <w:tcPr>
            <w:tcW w:w="941" w:type="dxa"/>
            <w:noWrap w:val="0"/>
            <w:vAlign w:val="center"/>
          </w:tcPr>
          <w:p w14:paraId="7CD95FD2">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firstLine="0" w:firstLineChars="0"/>
              <w:jc w:val="both"/>
              <w:textAlignment w:val="center"/>
              <w:outlineLvl w:val="9"/>
              <w:rPr>
                <w:rFonts w:hint="default" w:ascii="仿宋" w:hAnsi="仿宋" w:eastAsia="仿宋" w:cs="仿宋"/>
                <w:color w:val="auto"/>
                <w:spacing w:val="-11"/>
                <w:w w:val="100"/>
                <w:kern w:val="2"/>
                <w:sz w:val="18"/>
                <w:szCs w:val="18"/>
                <w:highlight w:val="none"/>
                <w:vertAlign w:val="baseline"/>
                <w:lang w:val="en-US" w:eastAsia="zh-CN" w:bidi="ar-SA"/>
              </w:rPr>
            </w:pPr>
            <w:r>
              <w:rPr>
                <w:rFonts w:hint="eastAsia" w:ascii="仿宋" w:hAnsi="仿宋" w:eastAsia="仿宋" w:cs="仿宋"/>
                <w:i w:val="0"/>
                <w:iCs w:val="0"/>
                <w:color w:val="auto"/>
                <w:spacing w:val="-11"/>
                <w:kern w:val="0"/>
                <w:sz w:val="18"/>
                <w:szCs w:val="18"/>
                <w:u w:val="none"/>
                <w:lang w:val="en-US" w:eastAsia="zh-CN" w:bidi="ar"/>
              </w:rPr>
              <w:t>6195.00</w:t>
            </w:r>
          </w:p>
        </w:tc>
        <w:tc>
          <w:tcPr>
            <w:tcW w:w="963" w:type="dxa"/>
            <w:noWrap w:val="0"/>
            <w:vAlign w:val="center"/>
          </w:tcPr>
          <w:p w14:paraId="0F5F2C9F">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default"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0</w:t>
            </w:r>
          </w:p>
        </w:tc>
        <w:tc>
          <w:tcPr>
            <w:tcW w:w="1777" w:type="dxa"/>
            <w:noWrap w:val="0"/>
            <w:vAlign w:val="center"/>
          </w:tcPr>
          <w:p w14:paraId="25AA6F18">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一次性全额拨付合同总金额（到位中央财政补贴资金）</w:t>
            </w:r>
          </w:p>
        </w:tc>
        <w:tc>
          <w:tcPr>
            <w:tcW w:w="719" w:type="dxa"/>
            <w:noWrap w:val="0"/>
            <w:vAlign w:val="center"/>
          </w:tcPr>
          <w:p w14:paraId="62194F9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仿宋" w:hAnsi="仿宋" w:eastAsia="仿宋" w:cs="仿宋"/>
                <w:color w:val="auto"/>
                <w:spacing w:val="-11"/>
                <w:w w:val="100"/>
                <w:kern w:val="2"/>
                <w:sz w:val="18"/>
                <w:szCs w:val="18"/>
                <w:highlight w:val="none"/>
                <w:vertAlign w:val="baseline"/>
                <w:lang w:val="en-US" w:eastAsia="zh-CN"/>
              </w:rPr>
            </w:pPr>
            <w:r>
              <w:rPr>
                <w:rFonts w:hint="eastAsia" w:ascii="仿宋" w:hAnsi="仿宋" w:eastAsia="仿宋" w:cs="仿宋"/>
                <w:color w:val="auto"/>
                <w:spacing w:val="-11"/>
                <w:w w:val="100"/>
                <w:kern w:val="2"/>
                <w:sz w:val="18"/>
                <w:szCs w:val="18"/>
                <w:highlight w:val="none"/>
                <w:vertAlign w:val="baseline"/>
                <w:lang w:val="en-US" w:eastAsia="zh-CN"/>
              </w:rPr>
              <w:t>100%</w:t>
            </w:r>
          </w:p>
        </w:tc>
      </w:tr>
    </w:tbl>
    <w:p w14:paraId="277E1D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楷体"/>
          <w:color w:val="auto"/>
          <w:spacing w:val="0"/>
          <w:w w:val="100"/>
          <w:kern w:val="2"/>
          <w:sz w:val="32"/>
          <w:szCs w:val="32"/>
          <w:highlight w:val="none"/>
          <w:lang w:val="en-US" w:eastAsia="zh-CN"/>
        </w:rPr>
      </w:pPr>
      <w:r>
        <w:rPr>
          <w:rFonts w:hint="eastAsia" w:ascii="楷体" w:hAnsi="楷体" w:eastAsia="楷体" w:cs="楷体"/>
          <w:color w:val="auto"/>
          <w:spacing w:val="0"/>
          <w:w w:val="100"/>
          <w:kern w:val="2"/>
          <w:sz w:val="32"/>
          <w:szCs w:val="32"/>
          <w:highlight w:val="none"/>
          <w:lang w:val="en-US" w:eastAsia="zh-CN"/>
        </w:rPr>
        <w:t>（二）资金管理情况分析</w:t>
      </w:r>
    </w:p>
    <w:p w14:paraId="51B422BB">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1.资金分配方面</w:t>
      </w:r>
      <w:r>
        <w:rPr>
          <w:rFonts w:hint="eastAsia" w:ascii="仿宋" w:hAnsi="仿宋" w:eastAsia="仿宋" w:cs="仿宋"/>
          <w:color w:val="auto"/>
          <w:spacing w:val="0"/>
          <w:w w:val="100"/>
          <w:kern w:val="2"/>
          <w:sz w:val="32"/>
          <w:szCs w:val="32"/>
          <w:highlight w:val="none"/>
          <w:lang w:val="en-US" w:eastAsia="zh-CN"/>
        </w:rPr>
        <w:t>。项目由工业和信息化部批复各地市建设份额，由财政部批复补助资金总额，西藏自治区通信管理局严格按照批复情况开展各项工作。在企业分配层面，2025年度西藏电信普遍服务行政村项目通过公开招标方式确定承建企业，边疆项目按工业和信息化部部署，通过“行政指派”方式确定承建企业。对于各承建企业的补助资金，按项目获得的中央财政补贴总额/获批基站总数*各承建单位任务数计算得出。</w:t>
      </w:r>
    </w:p>
    <w:p w14:paraId="66515BCA">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2.资金下达、拨付、执行、使用方面。</w:t>
      </w:r>
      <w:r>
        <w:rPr>
          <w:rFonts w:hint="eastAsia" w:ascii="仿宋" w:hAnsi="仿宋" w:eastAsia="仿宋" w:cs="仿宋"/>
          <w:color w:val="auto"/>
          <w:spacing w:val="0"/>
          <w:w w:val="100"/>
          <w:kern w:val="2"/>
          <w:sz w:val="32"/>
          <w:szCs w:val="32"/>
          <w:highlight w:val="none"/>
          <w:lang w:val="en-US" w:eastAsia="zh-CN"/>
        </w:rPr>
        <w:t>2024年10月-2025年4月，财政部先后下发《关于提前下达2025年电信普遍服务补助资金预算的通知》（财建〔2024〕368号）、《关于下达2025年电信普遍服务补助资金预算的通知》（财建〔2025〕76号），确定本批次电信普遍服务项目中央财政补助资金48501万元。</w:t>
      </w:r>
    </w:p>
    <w:p w14:paraId="724C1F7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color w:val="auto"/>
          <w:spacing w:val="0"/>
          <w:w w:val="100"/>
          <w:kern w:val="2"/>
          <w:sz w:val="32"/>
          <w:szCs w:val="32"/>
          <w:highlight w:val="none"/>
          <w:lang w:val="en-US" w:eastAsia="zh-CN"/>
        </w:rPr>
        <w:t>截至目前，2025年度西藏电信普遍服务项目预算执行进度达到100%。具体拨付环节，由西藏自治区通信管理局</w:t>
      </w:r>
      <w:r>
        <w:rPr>
          <w:rFonts w:hint="eastAsia" w:ascii="仿宋" w:hAnsi="仿宋" w:eastAsia="仿宋" w:cs="仿宋"/>
          <w:b w:val="0"/>
          <w:bCs w:val="0"/>
          <w:color w:val="auto"/>
          <w:spacing w:val="0"/>
          <w:w w:val="100"/>
          <w:kern w:val="2"/>
          <w:sz w:val="32"/>
          <w:szCs w:val="32"/>
          <w:highlight w:val="none"/>
          <w:lang w:val="en-US" w:eastAsia="zh-CN"/>
        </w:rPr>
        <w:t>收集承建企业提交的拨款所需材料（拨付申请、合同关键页、项目批复、资金批复、建设批复、会议纪要、中标服务费发票），逐一审核文件真实性、完整性及数据逻辑关系，确保无误后报送至</w:t>
      </w:r>
      <w:r>
        <w:rPr>
          <w:rFonts w:hint="eastAsia" w:ascii="仿宋" w:hAnsi="仿宋" w:eastAsia="仿宋" w:cs="仿宋"/>
          <w:color w:val="auto"/>
          <w:spacing w:val="0"/>
          <w:w w:val="100"/>
          <w:kern w:val="2"/>
          <w:sz w:val="32"/>
          <w:szCs w:val="32"/>
          <w:highlight w:val="none"/>
          <w:lang w:val="en-US" w:eastAsia="zh-CN"/>
        </w:rPr>
        <w:t>本级财政（国库支付中心）申请资金拨付。</w:t>
      </w:r>
    </w:p>
    <w:p w14:paraId="2FC98E8C">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3.支出责任履行方面。</w:t>
      </w:r>
      <w:r>
        <w:rPr>
          <w:rFonts w:hint="eastAsia" w:ascii="仿宋" w:hAnsi="仿宋" w:eastAsia="仿宋" w:cs="仿宋"/>
          <w:color w:val="auto"/>
          <w:spacing w:val="0"/>
          <w:w w:val="100"/>
          <w:kern w:val="2"/>
          <w:sz w:val="32"/>
          <w:szCs w:val="32"/>
          <w:highlight w:val="none"/>
          <w:lang w:val="en-US" w:eastAsia="zh-CN"/>
        </w:rPr>
        <w:t>为规范电信普遍服务补助资金使用，西藏自治区通信管理局严把支出质量关，</w:t>
      </w:r>
      <w:r>
        <w:rPr>
          <w:rFonts w:hint="eastAsia" w:ascii="仿宋" w:hAnsi="仿宋" w:eastAsia="仿宋" w:cs="仿宋"/>
          <w:b w:val="0"/>
          <w:bCs w:val="0"/>
          <w:color w:val="auto"/>
          <w:spacing w:val="0"/>
          <w:w w:val="100"/>
          <w:kern w:val="2"/>
          <w:sz w:val="32"/>
          <w:szCs w:val="32"/>
          <w:highlight w:val="none"/>
          <w:lang w:val="en-US" w:eastAsia="zh-CN"/>
        </w:rPr>
        <w:t>在收到承建企业编制的2025年度西藏电信普遍服务项目实施方案后，邀请行业内具备通信工程建设领域专业资质/职称的专家，对各方案建设规模、资金投入、技术投入、设备标准、质量标准、人员安排、工期安排、运维保障、风险预案等内容进行细致评审</w:t>
      </w:r>
      <w:r>
        <w:rPr>
          <w:rFonts w:hint="eastAsia" w:ascii="仿宋" w:hAnsi="仿宋" w:eastAsia="仿宋" w:cs="仿宋"/>
          <w:color w:val="auto"/>
          <w:spacing w:val="0"/>
          <w:w w:val="100"/>
          <w:kern w:val="2"/>
          <w:sz w:val="32"/>
          <w:szCs w:val="32"/>
          <w:highlight w:val="none"/>
          <w:lang w:val="en-US" w:eastAsia="zh-CN"/>
        </w:rPr>
        <w:t>。方案经评审确定可操作性强，可有效实现2025年度西藏电信普遍服务项目预期目标，评审组一致同意合格后，西藏自治区通信管理局党组召开专题会议研究具体支付事宜。</w:t>
      </w:r>
    </w:p>
    <w:p w14:paraId="6EEA9DC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4.预算绩效管理方面</w:t>
      </w:r>
      <w:r>
        <w:rPr>
          <w:rFonts w:hint="eastAsia" w:ascii="仿宋" w:hAnsi="仿宋" w:eastAsia="仿宋" w:cs="仿宋"/>
          <w:color w:val="auto"/>
          <w:spacing w:val="0"/>
          <w:w w:val="100"/>
          <w:kern w:val="2"/>
          <w:sz w:val="32"/>
          <w:szCs w:val="32"/>
          <w:highlight w:val="none"/>
          <w:lang w:val="en-US" w:eastAsia="zh-CN"/>
        </w:rPr>
        <w:t>。</w:t>
      </w:r>
      <w:r>
        <w:rPr>
          <w:rFonts w:hint="eastAsia" w:ascii="仿宋" w:hAnsi="仿宋" w:eastAsia="仿宋" w:cs="仿宋"/>
          <w:sz w:val="32"/>
          <w:szCs w:val="32"/>
          <w:highlight w:val="none"/>
          <w:lang w:val="en-US" w:eastAsia="zh-CN"/>
        </w:rPr>
        <w:t>为提升电信普遍服务项目整体绩效管理水平，切实提高财政资金使用效益，我局向三家承建企业下发《西藏自治区通信管理局关于开展2025年度电信普遍服务补助资金绩效管理工作的通知》，通过全过程、全方位、全覆盖的绩效管理，推动财政补助资金精准高效使用，确保项目早落地、早见效。</w:t>
      </w:r>
    </w:p>
    <w:p w14:paraId="330F7CB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5.项目（业务）管理情况。</w:t>
      </w:r>
      <w:r>
        <w:rPr>
          <w:rFonts w:hint="eastAsia" w:ascii="仿宋" w:hAnsi="仿宋" w:eastAsia="仿宋" w:cs="仿宋"/>
          <w:b w:val="0"/>
          <w:bCs w:val="0"/>
          <w:color w:val="auto"/>
          <w:spacing w:val="0"/>
          <w:w w:val="100"/>
          <w:kern w:val="2"/>
          <w:sz w:val="32"/>
          <w:szCs w:val="32"/>
          <w:highlight w:val="none"/>
          <w:lang w:val="en-US" w:eastAsia="zh-CN"/>
        </w:rPr>
        <w:t>为确保电信普遍服务项目按期按质推进，</w:t>
      </w:r>
      <w:r>
        <w:rPr>
          <w:rFonts w:hint="eastAsia" w:ascii="仿宋" w:hAnsi="仿宋" w:eastAsia="仿宋" w:cs="仿宋"/>
          <w:color w:val="auto"/>
          <w:spacing w:val="0"/>
          <w:w w:val="100"/>
          <w:kern w:val="2"/>
          <w:sz w:val="32"/>
          <w:szCs w:val="32"/>
          <w:highlight w:val="none"/>
          <w:lang w:val="en-US" w:eastAsia="zh-CN"/>
        </w:rPr>
        <w:t>西藏自治区通信管理局</w:t>
      </w:r>
      <w:r>
        <w:rPr>
          <w:rFonts w:hint="eastAsia" w:ascii="仿宋" w:hAnsi="仿宋" w:eastAsia="仿宋" w:cs="仿宋"/>
          <w:b/>
          <w:bCs/>
          <w:color w:val="auto"/>
          <w:spacing w:val="0"/>
          <w:w w:val="100"/>
          <w:kern w:val="2"/>
          <w:sz w:val="32"/>
          <w:szCs w:val="32"/>
          <w:highlight w:val="none"/>
          <w:lang w:val="en-US" w:eastAsia="zh-CN"/>
        </w:rPr>
        <w:t>一是</w:t>
      </w:r>
      <w:r>
        <w:rPr>
          <w:rFonts w:hint="eastAsia" w:ascii="仿宋" w:hAnsi="仿宋" w:eastAsia="仿宋" w:cs="仿宋"/>
          <w:b w:val="0"/>
          <w:bCs w:val="0"/>
          <w:color w:val="auto"/>
          <w:spacing w:val="0"/>
          <w:w w:val="100"/>
          <w:kern w:val="2"/>
          <w:sz w:val="32"/>
          <w:szCs w:val="32"/>
          <w:highlight w:val="none"/>
          <w:lang w:val="en-US" w:eastAsia="zh-CN"/>
        </w:rPr>
        <w:t>与承建单位建立进度周报机制，每周对比、分析实施进度，确保及时发现问题、解决问题，推动项目顺利实施。</w:t>
      </w:r>
      <w:r>
        <w:rPr>
          <w:rFonts w:hint="eastAsia" w:ascii="仿宋" w:hAnsi="仿宋" w:eastAsia="仿宋" w:cs="仿宋"/>
          <w:b/>
          <w:bCs/>
          <w:color w:val="auto"/>
          <w:spacing w:val="0"/>
          <w:w w:val="100"/>
          <w:kern w:val="2"/>
          <w:sz w:val="32"/>
          <w:szCs w:val="32"/>
          <w:highlight w:val="none"/>
          <w:lang w:val="en-US" w:eastAsia="zh-CN"/>
        </w:rPr>
        <w:t>二是</w:t>
      </w:r>
      <w:r>
        <w:rPr>
          <w:rFonts w:hint="eastAsia" w:ascii="仿宋" w:hAnsi="仿宋" w:eastAsia="仿宋" w:cs="仿宋"/>
          <w:b w:val="0"/>
          <w:bCs w:val="0"/>
          <w:color w:val="auto"/>
          <w:spacing w:val="0"/>
          <w:w w:val="100"/>
          <w:kern w:val="2"/>
          <w:sz w:val="32"/>
          <w:szCs w:val="32"/>
          <w:highlight w:val="none"/>
          <w:lang w:val="en-US" w:eastAsia="zh-CN"/>
        </w:rPr>
        <w:t>每季度召开一次由分管局领导主持，承建企业副总级领导参加的进度通报会，分析工作堵点、难点，提出优化措施，明确阶段性工作重点、目标任务，推动项目高质量完成。</w:t>
      </w:r>
      <w:r>
        <w:rPr>
          <w:rFonts w:hint="eastAsia" w:ascii="仿宋" w:hAnsi="仿宋" w:eastAsia="仿宋" w:cs="仿宋"/>
          <w:b/>
          <w:bCs/>
          <w:color w:val="auto"/>
          <w:spacing w:val="0"/>
          <w:w w:val="100"/>
          <w:kern w:val="2"/>
          <w:sz w:val="32"/>
          <w:szCs w:val="32"/>
          <w:highlight w:val="none"/>
          <w:lang w:val="en-US" w:eastAsia="zh-CN"/>
        </w:rPr>
        <w:t>三是</w:t>
      </w:r>
      <w:r>
        <w:rPr>
          <w:rFonts w:hint="eastAsia" w:ascii="仿宋" w:hAnsi="仿宋" w:eastAsia="仿宋" w:cs="仿宋"/>
          <w:b w:val="0"/>
          <w:bCs w:val="0"/>
          <w:color w:val="auto"/>
          <w:spacing w:val="0"/>
          <w:w w:val="100"/>
          <w:kern w:val="2"/>
          <w:sz w:val="32"/>
          <w:szCs w:val="32"/>
          <w:highlight w:val="none"/>
          <w:lang w:val="en-US" w:eastAsia="zh-CN"/>
        </w:rPr>
        <w:t>对于建设过程中需进行点位调整的，由项目申报主体地（市）人民政府核实相关情况后提交申请，确保中央补助资金落到实处。</w:t>
      </w:r>
      <w:r>
        <w:rPr>
          <w:rFonts w:hint="eastAsia" w:ascii="仿宋" w:hAnsi="仿宋" w:eastAsia="仿宋" w:cs="仿宋"/>
          <w:b/>
          <w:bCs/>
          <w:color w:val="auto"/>
          <w:spacing w:val="0"/>
          <w:w w:val="100"/>
          <w:kern w:val="2"/>
          <w:sz w:val="32"/>
          <w:szCs w:val="32"/>
          <w:highlight w:val="none"/>
          <w:lang w:val="en-US" w:eastAsia="zh-CN"/>
        </w:rPr>
        <w:t>四是</w:t>
      </w:r>
      <w:r>
        <w:rPr>
          <w:rFonts w:hint="eastAsia" w:ascii="仿宋" w:hAnsi="仿宋" w:eastAsia="仿宋" w:cs="仿宋"/>
          <w:b w:val="0"/>
          <w:bCs w:val="0"/>
          <w:color w:val="auto"/>
          <w:spacing w:val="0"/>
          <w:w w:val="100"/>
          <w:kern w:val="2"/>
          <w:sz w:val="32"/>
          <w:szCs w:val="32"/>
          <w:highlight w:val="none"/>
          <w:lang w:val="en-US" w:eastAsia="zh-CN"/>
        </w:rPr>
        <w:t>对于项目实施中的特殊问题，及时与西北边疆省份交流工作经验，借鉴优秀工作方法，并及时上报、请示工业和信息化部，确保项目程序合规。</w:t>
      </w:r>
    </w:p>
    <w:p w14:paraId="48DC4C2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lang w:val="en-US" w:eastAsia="zh-CN"/>
        </w:rPr>
      </w:pPr>
      <w:r>
        <w:rPr>
          <w:rFonts w:hint="eastAsia" w:ascii="仿宋" w:hAnsi="仿宋" w:eastAsia="仿宋" w:cs="仿宋"/>
          <w:b/>
          <w:bCs/>
          <w:color w:val="auto"/>
          <w:spacing w:val="0"/>
          <w:w w:val="100"/>
          <w:kern w:val="2"/>
          <w:sz w:val="32"/>
          <w:szCs w:val="32"/>
          <w:highlight w:val="none"/>
          <w:lang w:val="en-US" w:eastAsia="zh-CN"/>
        </w:rPr>
        <w:t>6.招投标、政府采购、指派承担情况。</w:t>
      </w:r>
      <w:r>
        <w:rPr>
          <w:rFonts w:hint="eastAsia" w:ascii="仿宋" w:hAnsi="仿宋" w:eastAsia="仿宋" w:cs="仿宋"/>
          <w:color w:val="auto"/>
          <w:spacing w:val="0"/>
          <w:w w:val="100"/>
          <w:kern w:val="2"/>
          <w:sz w:val="32"/>
          <w:szCs w:val="32"/>
          <w:highlight w:val="none"/>
          <w:lang w:val="en-US" w:eastAsia="zh-CN"/>
        </w:rPr>
        <w:t>2025年度西藏电信普遍服务行政村项目委托第三方招标代理机构组织招标工作，西藏自治区通信管理局</w:t>
      </w:r>
      <w:r>
        <w:rPr>
          <w:rFonts w:hint="eastAsia" w:ascii="仿宋" w:hAnsi="仿宋" w:eastAsia="仿宋" w:cs="仿宋"/>
          <w:b w:val="0"/>
          <w:bCs w:val="0"/>
          <w:color w:val="auto"/>
          <w:spacing w:val="0"/>
          <w:w w:val="100"/>
          <w:kern w:val="2"/>
          <w:sz w:val="32"/>
          <w:szCs w:val="32"/>
          <w:highlight w:val="none"/>
          <w:lang w:val="en-US" w:eastAsia="zh-CN"/>
        </w:rPr>
        <w:t>从本级财政招标代理机构入库单位中抽取服务公司</w:t>
      </w:r>
      <w:r>
        <w:rPr>
          <w:rFonts w:hint="eastAsia" w:ascii="仿宋" w:hAnsi="仿宋" w:eastAsia="仿宋" w:cs="仿宋"/>
          <w:color w:val="auto"/>
          <w:spacing w:val="0"/>
          <w:w w:val="100"/>
          <w:kern w:val="2"/>
          <w:sz w:val="32"/>
          <w:szCs w:val="32"/>
          <w:highlight w:val="none"/>
          <w:lang w:val="en-US" w:eastAsia="zh-CN"/>
        </w:rPr>
        <w:t>，由其组织发布公开招标意向公告、招标公告、潜在供应商投标报名、招标文件发售、评标组织、中标结果公告等工作，全过程工作严格按照《中华人民共和国政府采购法》《中华人民共和国政府采购法实施条例》和财政部、自治区财政厅相关法规和规范开展。</w:t>
      </w:r>
      <w:bookmarkStart w:id="0" w:name="_GoBack"/>
      <w:bookmarkEnd w:id="0"/>
      <w:r>
        <w:rPr>
          <w:rFonts w:hint="eastAsia" w:ascii="仿宋" w:hAnsi="仿宋" w:eastAsia="仿宋" w:cs="仿宋"/>
          <w:color w:val="auto"/>
          <w:spacing w:val="0"/>
          <w:w w:val="100"/>
          <w:kern w:val="2"/>
          <w:sz w:val="32"/>
          <w:szCs w:val="32"/>
          <w:highlight w:val="none"/>
          <w:lang w:val="en-US" w:eastAsia="zh-CN"/>
        </w:rPr>
        <w:t>边疆项目在考虑各基础电信企业现有通信资源情况、网络部署规划及承建力量的基础上，对工业和信息化部提出客观分配建议，由工业和信息化部通过“行政指派”方式确定承建企业。</w:t>
      </w:r>
    </w:p>
    <w:p w14:paraId="1F31DF8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ascii="楷体" w:hAnsi="楷体" w:eastAsia="楷体" w:cs="楷体"/>
          <w:color w:val="auto"/>
          <w:spacing w:val="0"/>
          <w:w w:val="100"/>
          <w:kern w:val="2"/>
          <w:sz w:val="32"/>
          <w:szCs w:val="32"/>
          <w:highlight w:val="none"/>
          <w:lang w:val="en-US" w:eastAsia="zh-CN"/>
        </w:rPr>
      </w:pPr>
      <w:r>
        <w:rPr>
          <w:rFonts w:hint="eastAsia" w:ascii="楷体" w:hAnsi="楷体" w:eastAsia="楷体" w:cs="楷体"/>
          <w:color w:val="auto"/>
          <w:spacing w:val="0"/>
          <w:w w:val="100"/>
          <w:kern w:val="2"/>
          <w:sz w:val="32"/>
          <w:szCs w:val="32"/>
          <w:highlight w:val="none"/>
          <w:lang w:val="en-US" w:eastAsia="zh-CN"/>
        </w:rPr>
        <w:t>（三）总体绩效目标完成情况分析</w:t>
      </w:r>
    </w:p>
    <w:p w14:paraId="195927B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color w:val="auto"/>
          <w:spacing w:val="0"/>
          <w:w w:val="100"/>
          <w:kern w:val="2"/>
          <w:sz w:val="32"/>
          <w:szCs w:val="32"/>
          <w:highlight w:val="none"/>
          <w:lang w:val="en-US" w:eastAsia="zh-CN"/>
        </w:rPr>
      </w:pPr>
      <w:r>
        <w:rPr>
          <w:rFonts w:hint="eastAsia" w:ascii="仿宋" w:hAnsi="仿宋" w:eastAsia="仿宋" w:cs="仿宋"/>
          <w:w w:val="100"/>
          <w:kern w:val="2"/>
          <w:sz w:val="32"/>
          <w:szCs w:val="32"/>
          <w:highlight w:val="none"/>
          <w:lang w:val="en-US" w:eastAsia="zh-CN"/>
        </w:rPr>
        <w:t>西藏2025年度电信普遍服务项目绩效总体目标为</w:t>
      </w:r>
      <w:r>
        <w:rPr>
          <w:rFonts w:hint="eastAsia" w:ascii="仿宋" w:hAnsi="仿宋" w:eastAsia="仿宋" w:cs="仿宋"/>
          <w:b/>
          <w:bCs/>
          <w:color w:val="auto"/>
          <w:spacing w:val="0"/>
          <w:w w:val="100"/>
          <w:kern w:val="2"/>
          <w:sz w:val="32"/>
          <w:szCs w:val="32"/>
          <w:highlight w:val="none"/>
          <w:lang w:val="en-US" w:eastAsia="zh-CN"/>
        </w:rPr>
        <w:t>“中央补助资金及时拨付企业，推进边疆5G网络建设和行政村5G网络建设，企业按合同要求完成基站建设任务。”</w:t>
      </w:r>
      <w:r>
        <w:rPr>
          <w:rFonts w:hint="eastAsia" w:ascii="仿宋" w:hAnsi="仿宋" w:eastAsia="仿宋" w:cs="仿宋"/>
          <w:color w:val="auto"/>
          <w:spacing w:val="0"/>
          <w:w w:val="100"/>
          <w:kern w:val="2"/>
          <w:sz w:val="32"/>
          <w:szCs w:val="32"/>
          <w:highlight w:val="none"/>
          <w:lang w:val="en-US" w:eastAsia="zh-CN"/>
        </w:rPr>
        <w:t>。截至目前，行政村项目已完成601个5G基站建设，进度达98.8%；边疆项目已完成337个基站建设，进度达96.5%，该批次中央补助资金已全额拨付至企业。</w:t>
      </w:r>
    </w:p>
    <w:p w14:paraId="3B55CD1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ascii="楷体" w:hAnsi="楷体" w:eastAsia="楷体" w:cs="楷体"/>
          <w:color w:val="auto"/>
          <w:spacing w:val="0"/>
          <w:w w:val="100"/>
          <w:kern w:val="2"/>
          <w:sz w:val="32"/>
          <w:szCs w:val="32"/>
          <w:highlight w:val="none"/>
          <w:lang w:val="en-US" w:eastAsia="zh-CN"/>
        </w:rPr>
      </w:pPr>
      <w:r>
        <w:rPr>
          <w:rFonts w:hint="eastAsia" w:ascii="楷体" w:hAnsi="楷体" w:eastAsia="楷体" w:cs="楷体"/>
          <w:color w:val="auto"/>
          <w:spacing w:val="0"/>
          <w:w w:val="100"/>
          <w:kern w:val="2"/>
          <w:sz w:val="32"/>
          <w:szCs w:val="32"/>
          <w:highlight w:val="none"/>
          <w:lang w:val="en-US" w:eastAsia="zh-CN"/>
        </w:rPr>
        <w:t>（四）绩效指标完成情况分析</w:t>
      </w:r>
    </w:p>
    <w:p w14:paraId="2088B707">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1.建设数量完成情况。</w:t>
      </w:r>
      <w:r>
        <w:rPr>
          <w:rFonts w:hint="eastAsia" w:ascii="仿宋" w:hAnsi="仿宋" w:eastAsia="仿宋" w:cs="仿宋"/>
          <w:color w:val="auto"/>
          <w:spacing w:val="0"/>
          <w:w w:val="100"/>
          <w:kern w:val="2"/>
          <w:sz w:val="32"/>
          <w:szCs w:val="32"/>
          <w:highlight w:val="none"/>
          <w:lang w:val="en-US" w:eastAsia="zh-CN"/>
        </w:rPr>
        <w:t>2025年度西藏电信普遍服务项目按照建设点位性质与补助资金比例，划分为行政村及边疆项目。各子项目涉及的合同约定建设数量、已完工数量等信息详见下表（本报告数据统计截止日期为2026年2月28日）：</w:t>
      </w:r>
    </w:p>
    <w:tbl>
      <w:tblPr>
        <w:tblStyle w:val="9"/>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960"/>
        <w:gridCol w:w="1271"/>
        <w:gridCol w:w="975"/>
        <w:gridCol w:w="1117"/>
        <w:gridCol w:w="1117"/>
        <w:gridCol w:w="1117"/>
        <w:gridCol w:w="1079"/>
      </w:tblGrid>
      <w:tr w14:paraId="51B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4" w:type="dxa"/>
            <w:noWrap w:val="0"/>
            <w:vAlign w:val="center"/>
          </w:tcPr>
          <w:p w14:paraId="00B62714">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基站种类</w:t>
            </w:r>
          </w:p>
        </w:tc>
        <w:tc>
          <w:tcPr>
            <w:tcW w:w="960" w:type="dxa"/>
            <w:noWrap w:val="0"/>
            <w:vAlign w:val="center"/>
          </w:tcPr>
          <w:p w14:paraId="230BF92C">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批复数量（个）</w:t>
            </w:r>
          </w:p>
        </w:tc>
        <w:tc>
          <w:tcPr>
            <w:tcW w:w="1271" w:type="dxa"/>
            <w:noWrap w:val="0"/>
            <w:vAlign w:val="center"/>
          </w:tcPr>
          <w:p w14:paraId="6121CBFB">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合同约定数量（个）</w:t>
            </w:r>
          </w:p>
        </w:tc>
        <w:tc>
          <w:tcPr>
            <w:tcW w:w="975" w:type="dxa"/>
            <w:noWrap w:val="0"/>
            <w:vAlign w:val="center"/>
          </w:tcPr>
          <w:p w14:paraId="234D074D">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已完工</w:t>
            </w:r>
          </w:p>
          <w:p w14:paraId="2E616771">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数量（个）</w:t>
            </w:r>
          </w:p>
        </w:tc>
        <w:tc>
          <w:tcPr>
            <w:tcW w:w="1117" w:type="dxa"/>
            <w:noWrap w:val="0"/>
            <w:vAlign w:val="center"/>
          </w:tcPr>
          <w:p w14:paraId="653510F3">
            <w:pPr>
              <w:keepNext w:val="0"/>
              <w:keepLines w:val="0"/>
              <w:pageBreakBefore w:val="0"/>
              <w:widowControl w:val="0"/>
              <w:tabs>
                <w:tab w:val="left" w:pos="343"/>
              </w:tabs>
              <w:kinsoku/>
              <w:wordWrap/>
              <w:overflowPunct/>
              <w:topLinePunct w:val="0"/>
              <w:autoSpaceDE/>
              <w:autoSpaceDN/>
              <w:bidi w:val="0"/>
              <w:adjustRightInd/>
              <w:snapToGrid/>
              <w:spacing w:line="579" w:lineRule="exact"/>
              <w:jc w:val="left"/>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已竣工验收数量</w:t>
            </w:r>
          </w:p>
        </w:tc>
        <w:tc>
          <w:tcPr>
            <w:tcW w:w="1117" w:type="dxa"/>
            <w:noWrap w:val="0"/>
            <w:vAlign w:val="center"/>
          </w:tcPr>
          <w:p w14:paraId="277B6B30">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调整数量</w:t>
            </w:r>
          </w:p>
        </w:tc>
        <w:tc>
          <w:tcPr>
            <w:tcW w:w="1117" w:type="dxa"/>
            <w:noWrap w:val="0"/>
            <w:vAlign w:val="center"/>
          </w:tcPr>
          <w:p w14:paraId="66382365">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调整原因</w:t>
            </w:r>
          </w:p>
        </w:tc>
        <w:tc>
          <w:tcPr>
            <w:tcW w:w="1079" w:type="dxa"/>
            <w:noWrap w:val="0"/>
            <w:vAlign w:val="center"/>
          </w:tcPr>
          <w:p w14:paraId="327AC6DC">
            <w:pPr>
              <w:keepNext w:val="0"/>
              <w:keepLines w:val="0"/>
              <w:pageBreakBefore w:val="0"/>
              <w:widowControl w:val="0"/>
              <w:kinsoku/>
              <w:wordWrap/>
              <w:overflowPunct/>
              <w:topLinePunct w:val="0"/>
              <w:autoSpaceDE/>
              <w:autoSpaceDN/>
              <w:bidi w:val="0"/>
              <w:adjustRightInd/>
              <w:snapToGrid/>
              <w:spacing w:line="579" w:lineRule="exact"/>
              <w:ind w:left="0" w:leftChars="0" w:firstLine="400" w:firstLineChars="200"/>
              <w:jc w:val="both"/>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备注</w:t>
            </w:r>
          </w:p>
        </w:tc>
      </w:tr>
      <w:tr w14:paraId="3F17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4" w:type="dxa"/>
            <w:noWrap w:val="0"/>
            <w:vAlign w:val="center"/>
          </w:tcPr>
          <w:p w14:paraId="5F9A0D6E">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行政村5G</w:t>
            </w:r>
          </w:p>
        </w:tc>
        <w:tc>
          <w:tcPr>
            <w:tcW w:w="960" w:type="dxa"/>
            <w:noWrap w:val="0"/>
            <w:vAlign w:val="center"/>
          </w:tcPr>
          <w:p w14:paraId="5647B3E2">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608</w:t>
            </w:r>
          </w:p>
        </w:tc>
        <w:tc>
          <w:tcPr>
            <w:tcW w:w="1271" w:type="dxa"/>
            <w:noWrap w:val="0"/>
            <w:vAlign w:val="center"/>
          </w:tcPr>
          <w:p w14:paraId="08983D48">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608</w:t>
            </w:r>
          </w:p>
        </w:tc>
        <w:tc>
          <w:tcPr>
            <w:tcW w:w="975" w:type="dxa"/>
            <w:noWrap w:val="0"/>
            <w:vAlign w:val="center"/>
          </w:tcPr>
          <w:p w14:paraId="44692CC1">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601</w:t>
            </w:r>
          </w:p>
        </w:tc>
        <w:tc>
          <w:tcPr>
            <w:tcW w:w="1117" w:type="dxa"/>
            <w:noWrap w:val="0"/>
            <w:vAlign w:val="center"/>
          </w:tcPr>
          <w:p w14:paraId="043C4177">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0</w:t>
            </w:r>
          </w:p>
        </w:tc>
        <w:tc>
          <w:tcPr>
            <w:tcW w:w="1117" w:type="dxa"/>
            <w:noWrap w:val="0"/>
            <w:vAlign w:val="center"/>
          </w:tcPr>
          <w:p w14:paraId="2E958A37">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0</w:t>
            </w:r>
          </w:p>
        </w:tc>
        <w:tc>
          <w:tcPr>
            <w:tcW w:w="1117" w:type="dxa"/>
            <w:noWrap w:val="0"/>
            <w:vAlign w:val="center"/>
          </w:tcPr>
          <w:p w14:paraId="7CE83A06">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p>
        </w:tc>
        <w:tc>
          <w:tcPr>
            <w:tcW w:w="1079" w:type="dxa"/>
            <w:vMerge w:val="restart"/>
            <w:noWrap w:val="0"/>
            <w:vAlign w:val="center"/>
          </w:tcPr>
          <w:p w14:paraId="1413B203">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目前仍处于建设期</w:t>
            </w:r>
          </w:p>
        </w:tc>
      </w:tr>
      <w:tr w14:paraId="40B8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14" w:type="dxa"/>
            <w:noWrap w:val="0"/>
            <w:vAlign w:val="center"/>
          </w:tcPr>
          <w:p w14:paraId="612037E7">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边疆5G</w:t>
            </w:r>
          </w:p>
        </w:tc>
        <w:tc>
          <w:tcPr>
            <w:tcW w:w="960" w:type="dxa"/>
            <w:noWrap w:val="0"/>
            <w:vAlign w:val="center"/>
          </w:tcPr>
          <w:p w14:paraId="40E667EC">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349</w:t>
            </w:r>
          </w:p>
        </w:tc>
        <w:tc>
          <w:tcPr>
            <w:tcW w:w="1271" w:type="dxa"/>
            <w:noWrap w:val="0"/>
            <w:vAlign w:val="center"/>
          </w:tcPr>
          <w:p w14:paraId="4C1D24CB">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349</w:t>
            </w:r>
          </w:p>
        </w:tc>
        <w:tc>
          <w:tcPr>
            <w:tcW w:w="975" w:type="dxa"/>
            <w:noWrap w:val="0"/>
            <w:vAlign w:val="center"/>
          </w:tcPr>
          <w:p w14:paraId="2165102A">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337</w:t>
            </w:r>
          </w:p>
        </w:tc>
        <w:tc>
          <w:tcPr>
            <w:tcW w:w="1117" w:type="dxa"/>
            <w:noWrap w:val="0"/>
            <w:vAlign w:val="center"/>
          </w:tcPr>
          <w:p w14:paraId="5BB4CA15">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0</w:t>
            </w:r>
          </w:p>
        </w:tc>
        <w:tc>
          <w:tcPr>
            <w:tcW w:w="1117" w:type="dxa"/>
            <w:noWrap w:val="0"/>
            <w:vAlign w:val="center"/>
          </w:tcPr>
          <w:p w14:paraId="1F25E3D9">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r>
              <w:rPr>
                <w:rFonts w:hint="eastAsia" w:ascii="仿宋" w:hAnsi="仿宋" w:eastAsia="仿宋" w:cs="仿宋"/>
                <w:color w:val="auto"/>
                <w:spacing w:val="0"/>
                <w:w w:val="100"/>
                <w:kern w:val="2"/>
                <w:sz w:val="20"/>
                <w:szCs w:val="20"/>
                <w:highlight w:val="none"/>
                <w:vertAlign w:val="baseline"/>
                <w:lang w:val="en-US" w:eastAsia="zh-CN"/>
              </w:rPr>
              <w:t>0</w:t>
            </w:r>
          </w:p>
        </w:tc>
        <w:tc>
          <w:tcPr>
            <w:tcW w:w="1117" w:type="dxa"/>
            <w:noWrap w:val="0"/>
            <w:vAlign w:val="center"/>
          </w:tcPr>
          <w:p w14:paraId="79A9169A">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仿宋" w:hAnsi="仿宋" w:eastAsia="仿宋" w:cs="仿宋"/>
                <w:color w:val="auto"/>
                <w:spacing w:val="0"/>
                <w:w w:val="100"/>
                <w:kern w:val="2"/>
                <w:sz w:val="20"/>
                <w:szCs w:val="20"/>
                <w:highlight w:val="none"/>
                <w:vertAlign w:val="baseline"/>
                <w:lang w:val="en-US" w:eastAsia="zh-CN"/>
              </w:rPr>
            </w:pPr>
          </w:p>
        </w:tc>
        <w:tc>
          <w:tcPr>
            <w:tcW w:w="1079" w:type="dxa"/>
            <w:vMerge w:val="continue"/>
            <w:noWrap w:val="0"/>
            <w:vAlign w:val="center"/>
          </w:tcPr>
          <w:p w14:paraId="57A5A682">
            <w:pPr>
              <w:keepNext w:val="0"/>
              <w:keepLines w:val="0"/>
              <w:pageBreakBefore w:val="0"/>
              <w:widowControl w:val="0"/>
              <w:kinsoku/>
              <w:wordWrap/>
              <w:overflowPunct/>
              <w:topLinePunct w:val="0"/>
              <w:autoSpaceDE/>
              <w:autoSpaceDN/>
              <w:bidi w:val="0"/>
              <w:adjustRightInd/>
              <w:snapToGrid/>
              <w:spacing w:line="579" w:lineRule="exact"/>
              <w:ind w:left="0" w:leftChars="0" w:firstLine="400" w:firstLineChars="200"/>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rPr>
            </w:pPr>
          </w:p>
        </w:tc>
      </w:tr>
    </w:tbl>
    <w:p w14:paraId="0BF8CFFA">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2.建设质量情况</w:t>
      </w:r>
      <w:r>
        <w:rPr>
          <w:rFonts w:hint="eastAsia" w:ascii="仿宋" w:hAnsi="仿宋" w:eastAsia="仿宋" w:cs="仿宋"/>
          <w:color w:val="auto"/>
          <w:spacing w:val="0"/>
          <w:w w:val="100"/>
          <w:kern w:val="2"/>
          <w:sz w:val="32"/>
          <w:szCs w:val="32"/>
          <w:highlight w:val="none"/>
          <w:lang w:val="en-US" w:eastAsia="zh-CN"/>
        </w:rPr>
        <w:t>。西藏地理面积大，人口居住分散，点位之间距离过长，“完工一个验收一个”或“完工一批验收一批”的验收模式不符合西藏实际，故2025年度西藏电信普遍服务项目拟于整批次项目建成且企业完成自验提交验收申请后，整体开展验收。目前项目仍在合同建设期内，未完成建设，故未开展竣工验收工作，暂无法对项目验收合格率进行自评。网络运行稳定性方面，西藏自治区通信管理局每季度开展通信工程质量监督及安全生产专项检查，确保含电信普遍服务的已建通信基础设施稳定运行，切实服务广大农牧民生产生活、边防工作信息化需求；同时通过“电信普遍服务管理支撑”APP，定期检查各完工站点是否正常运行。截至目前该批次项目已完成98%的建设任务，点亮率达91%。</w:t>
      </w:r>
    </w:p>
    <w:p w14:paraId="4F98801B">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default" w:ascii="仿宋_GB2312" w:hAnsi="仿宋_GB2312" w:eastAsia="仿宋_GB2312" w:cs="仿宋_GB2312"/>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3.建设时效情况。</w:t>
      </w:r>
      <w:r>
        <w:rPr>
          <w:rFonts w:hint="eastAsia" w:ascii="仿宋" w:hAnsi="仿宋" w:eastAsia="仿宋" w:cs="仿宋"/>
          <w:color w:val="auto"/>
          <w:spacing w:val="0"/>
          <w:w w:val="100"/>
          <w:kern w:val="2"/>
          <w:sz w:val="32"/>
          <w:szCs w:val="32"/>
          <w:highlight w:val="none"/>
          <w:lang w:val="en-US" w:eastAsia="zh-CN"/>
        </w:rPr>
        <w:t>为确保电信普遍服务工程质量及建设安全，项目合同约定的工期为“自合同签订完成之日起，1年内完成所有建设任务及竣工验收申请”，合同履行期不包括项目验收时间。当前承建企业仍处于建设期内。</w:t>
      </w:r>
    </w:p>
    <w:p w14:paraId="432688D8">
      <w:pPr>
        <w:keepNext w:val="0"/>
        <w:keepLines w:val="0"/>
        <w:pageBreakBefore w:val="0"/>
        <w:widowControl w:val="0"/>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4.社会效益情况。</w:t>
      </w:r>
      <w:r>
        <w:rPr>
          <w:rFonts w:hint="eastAsia" w:ascii="仿宋" w:hAnsi="仿宋" w:eastAsia="仿宋" w:cs="仿宋"/>
          <w:b w:val="0"/>
          <w:bCs w:val="0"/>
          <w:color w:val="auto"/>
          <w:spacing w:val="0"/>
          <w:w w:val="100"/>
          <w:kern w:val="2"/>
          <w:sz w:val="32"/>
          <w:szCs w:val="32"/>
          <w:highlight w:val="none"/>
          <w:lang w:val="en-US" w:eastAsia="zh-CN"/>
        </w:rPr>
        <w:t>通过深入实施电信普遍服务项目，我区所有行政村</w:t>
      </w:r>
      <w:r>
        <w:rPr>
          <w:rFonts w:hint="eastAsia" w:ascii="仿宋" w:hAnsi="仿宋" w:eastAsia="仿宋" w:cs="仿宋"/>
          <w:i w:val="0"/>
          <w:iCs w:val="0"/>
          <w:color w:val="000000"/>
          <w:sz w:val="32"/>
          <w:szCs w:val="32"/>
          <w:highlight w:val="none"/>
          <w:u w:val="none"/>
        </w:rPr>
        <w:t>宽带通达率达100%</w:t>
      </w:r>
      <w:r>
        <w:rPr>
          <w:rFonts w:hint="eastAsia" w:ascii="仿宋" w:hAnsi="仿宋" w:eastAsia="仿宋" w:cs="仿宋"/>
          <w:i w:val="0"/>
          <w:iCs w:val="0"/>
          <w:color w:val="000000"/>
          <w:sz w:val="32"/>
          <w:szCs w:val="32"/>
          <w:highlight w:val="none"/>
          <w:u w:val="none"/>
          <w:lang w:eastAsia="zh-CN"/>
        </w:rPr>
        <w:t>；</w:t>
      </w:r>
      <w:r>
        <w:rPr>
          <w:rFonts w:hint="eastAsia" w:ascii="仿宋" w:hAnsi="仿宋" w:eastAsia="仿宋" w:cs="仿宋"/>
          <w:i w:val="0"/>
          <w:iCs w:val="0"/>
          <w:color w:val="000000"/>
          <w:sz w:val="32"/>
          <w:szCs w:val="32"/>
          <w:highlight w:val="none"/>
          <w:u w:val="none"/>
        </w:rPr>
        <w:t>21个</w:t>
      </w:r>
      <w:r>
        <w:rPr>
          <w:rFonts w:hint="eastAsia" w:ascii="仿宋" w:hAnsi="仿宋" w:eastAsia="仿宋" w:cs="仿宋"/>
          <w:i w:val="0"/>
          <w:iCs w:val="0"/>
          <w:color w:val="000000"/>
          <w:sz w:val="32"/>
          <w:szCs w:val="32"/>
          <w:highlight w:val="none"/>
          <w:u w:val="none"/>
          <w:lang w:eastAsia="zh-CN"/>
        </w:rPr>
        <w:t>涉边</w:t>
      </w:r>
      <w:r>
        <w:rPr>
          <w:rFonts w:hint="eastAsia" w:ascii="仿宋" w:hAnsi="仿宋" w:eastAsia="仿宋" w:cs="仿宋"/>
          <w:i w:val="0"/>
          <w:iCs w:val="0"/>
          <w:color w:val="000000"/>
          <w:sz w:val="32"/>
          <w:szCs w:val="32"/>
          <w:highlight w:val="none"/>
          <w:u w:val="none"/>
        </w:rPr>
        <w:t>县城及所辖164个乡镇全部实现5G和千兆光网通达</w:t>
      </w:r>
      <w:r>
        <w:rPr>
          <w:rFonts w:hint="eastAsia" w:ascii="仿宋" w:hAnsi="仿宋" w:eastAsia="仿宋" w:cs="仿宋"/>
          <w:i w:val="0"/>
          <w:iCs w:val="0"/>
          <w:color w:val="000000"/>
          <w:sz w:val="32"/>
          <w:szCs w:val="32"/>
          <w:highlight w:val="none"/>
          <w:u w:val="none"/>
          <w:lang w:eastAsia="zh-CN"/>
        </w:rPr>
        <w:t>，</w:t>
      </w:r>
      <w:r>
        <w:rPr>
          <w:rFonts w:hint="eastAsia" w:ascii="仿宋" w:hAnsi="仿宋" w:eastAsia="仿宋" w:cs="仿宋"/>
          <w:i w:val="0"/>
          <w:iCs w:val="0"/>
          <w:color w:val="000000"/>
          <w:sz w:val="32"/>
          <w:szCs w:val="32"/>
          <w:highlight w:val="none"/>
          <w:u w:val="none"/>
        </w:rPr>
        <w:t>边境管理及贸易机构宽带通达率达100%</w:t>
      </w:r>
      <w:r>
        <w:rPr>
          <w:rFonts w:hint="eastAsia" w:ascii="仿宋" w:hAnsi="仿宋" w:eastAsia="仿宋" w:cs="仿宋"/>
          <w:i w:val="0"/>
          <w:iCs w:val="0"/>
          <w:color w:val="000000"/>
          <w:sz w:val="32"/>
          <w:szCs w:val="32"/>
          <w:highlight w:val="none"/>
          <w:u w:val="none"/>
          <w:lang w:eastAsia="zh-CN"/>
        </w:rPr>
        <w:t>；</w:t>
      </w:r>
      <w:r>
        <w:rPr>
          <w:rFonts w:hint="eastAsia" w:ascii="仿宋" w:hAnsi="仿宋" w:eastAsia="仿宋" w:cs="仿宋"/>
          <w:color w:val="auto"/>
          <w:spacing w:val="0"/>
          <w:w w:val="100"/>
          <w:kern w:val="2"/>
          <w:sz w:val="32"/>
          <w:szCs w:val="32"/>
          <w:highlight w:val="none"/>
          <w:lang w:val="en-US" w:eastAsia="zh-CN"/>
        </w:rPr>
        <w:t>信息基础设施服务全区高质量发展及边疆长治久安作用明显，网络质量良好，电信普遍服务5G基站网络下载速率达到电信普遍服务项目标准，可有效支持当地群众生产生活信息化需求。</w:t>
      </w:r>
    </w:p>
    <w:p w14:paraId="4436CAF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3"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b/>
          <w:bCs/>
          <w:color w:val="auto"/>
          <w:spacing w:val="0"/>
          <w:w w:val="100"/>
          <w:kern w:val="2"/>
          <w:sz w:val="32"/>
          <w:szCs w:val="32"/>
          <w:highlight w:val="none"/>
          <w:lang w:val="en-US" w:eastAsia="zh-CN"/>
        </w:rPr>
        <w:t>5.服务对象满意度指标。</w:t>
      </w:r>
      <w:r>
        <w:rPr>
          <w:rFonts w:hint="eastAsia" w:ascii="仿宋" w:hAnsi="仿宋" w:eastAsia="仿宋" w:cs="仿宋"/>
          <w:color w:val="auto"/>
          <w:spacing w:val="0"/>
          <w:w w:val="100"/>
          <w:kern w:val="2"/>
          <w:sz w:val="32"/>
          <w:szCs w:val="32"/>
          <w:highlight w:val="none"/>
          <w:lang w:val="en-US" w:eastAsia="zh-CN"/>
        </w:rPr>
        <w:t>2025年度西藏电信普遍服务项目按确需、可能、效益最优原则实施，已完工的点位能够提供稳定的信号服务，得到用户满意，暂未出现用户投诉、基站逼迁等现象。</w:t>
      </w:r>
    </w:p>
    <w:p w14:paraId="27887E3C">
      <w:pPr>
        <w:keepNext w:val="0"/>
        <w:keepLines w:val="0"/>
        <w:pageBreakBefore w:val="0"/>
        <w:widowControl w:val="0"/>
        <w:kinsoku/>
        <w:wordWrap/>
        <w:overflowPunct/>
        <w:topLinePunct w:val="0"/>
        <w:autoSpaceDE w:val="0"/>
        <w:autoSpaceDN/>
        <w:bidi w:val="0"/>
        <w:adjustRightInd w:val="0"/>
        <w:snapToGrid w:val="0"/>
        <w:spacing w:line="579" w:lineRule="exact"/>
        <w:ind w:firstLine="640" w:firstLineChars="200"/>
        <w:jc w:val="both"/>
        <w:textAlignment w:val="auto"/>
        <w:outlineLvl w:val="9"/>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黑体" w:cs="Times New Roman"/>
          <w:bCs/>
          <w:color w:val="auto"/>
          <w:spacing w:val="0"/>
          <w:sz w:val="32"/>
          <w:szCs w:val="32"/>
          <w:highlight w:val="none"/>
          <w:lang w:bidi="ar"/>
        </w:rPr>
        <w:t>三、偏离绩效目标的原因和下一步改进措施</w:t>
      </w:r>
    </w:p>
    <w:p w14:paraId="5F309DD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color w:val="auto"/>
          <w:spacing w:val="0"/>
          <w:w w:val="100"/>
          <w:kern w:val="2"/>
          <w:sz w:val="32"/>
          <w:szCs w:val="32"/>
          <w:highlight w:val="none"/>
          <w:lang w:val="en-US" w:eastAsia="zh-CN"/>
        </w:rPr>
        <w:t>截至目前，2025年度西藏电信普遍服务项目已完成98%的建设任务，正处于合同履行期。当前各项工作进度达到既定目标，不存在偏离绩效指标的情况。</w:t>
      </w:r>
    </w:p>
    <w:p w14:paraId="1EA6097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default"/>
          <w:lang w:val="en-US" w:eastAsia="zh-CN"/>
        </w:rPr>
      </w:pPr>
      <w:r>
        <w:rPr>
          <w:rFonts w:hint="eastAsia" w:ascii="仿宋" w:hAnsi="仿宋" w:eastAsia="仿宋" w:cs="仿宋"/>
          <w:color w:val="auto"/>
          <w:spacing w:val="0"/>
          <w:w w:val="100"/>
          <w:kern w:val="2"/>
          <w:sz w:val="32"/>
          <w:szCs w:val="32"/>
          <w:highlight w:val="none"/>
          <w:lang w:val="en-US" w:eastAsia="zh-CN"/>
        </w:rPr>
        <w:t>下一步，西藏自治区通信管理局将延续当前工作机制，指导承建企业抓好进度管理、工程建设，在确保建设安全的情况下，推动项目尽快完工。按照安排，计划于2026年9月前完成本批次项目验收，验收工作严格按照《电信普遍服务项目竣工验收管理办法》（工信厅通信〔2022〕16号）及《西藏自治区电信普遍服务项目竣工验收管理办法》（藏通信〔2022〕98号）各项标准开展。项目终验合格后，在西藏自治区通信管理局门户网站对验收结果进行公示，并向工业和信息化部</w:t>
      </w:r>
      <w:r>
        <w:rPr>
          <w:rFonts w:hint="default" w:ascii="仿宋" w:hAnsi="仿宋" w:eastAsia="仿宋" w:cs="仿宋"/>
          <w:color w:val="auto"/>
          <w:spacing w:val="0"/>
          <w:w w:val="100"/>
          <w:kern w:val="2"/>
          <w:sz w:val="32"/>
          <w:szCs w:val="32"/>
          <w:highlight w:val="none"/>
          <w:lang w:val="en-US" w:eastAsia="zh-CN"/>
        </w:rPr>
        <w:t>信息通信</w:t>
      </w:r>
      <w:r>
        <w:rPr>
          <w:rFonts w:hint="eastAsia" w:ascii="仿宋" w:hAnsi="仿宋" w:eastAsia="仿宋" w:cs="仿宋"/>
          <w:color w:val="auto"/>
          <w:spacing w:val="0"/>
          <w:w w:val="100"/>
          <w:kern w:val="2"/>
          <w:sz w:val="32"/>
          <w:szCs w:val="32"/>
          <w:highlight w:val="none"/>
          <w:lang w:val="en-US" w:eastAsia="zh-CN"/>
        </w:rPr>
        <w:t>发展司报备。</w:t>
      </w:r>
    </w:p>
    <w:p w14:paraId="0FF8019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黑体" w:hAnsi="黑体" w:eastAsia="黑体" w:cs="黑体"/>
          <w:color w:val="auto"/>
          <w:spacing w:val="0"/>
          <w:w w:val="100"/>
          <w:kern w:val="2"/>
          <w:sz w:val="32"/>
          <w:szCs w:val="32"/>
          <w:highlight w:val="none"/>
          <w:lang w:val="en-US" w:eastAsia="zh-CN"/>
        </w:rPr>
      </w:pPr>
      <w:r>
        <w:rPr>
          <w:rFonts w:hint="eastAsia" w:ascii="黑体" w:hAnsi="黑体" w:eastAsia="黑体" w:cs="黑体"/>
          <w:color w:val="auto"/>
          <w:spacing w:val="0"/>
          <w:w w:val="100"/>
          <w:kern w:val="2"/>
          <w:sz w:val="32"/>
          <w:szCs w:val="32"/>
          <w:highlight w:val="none"/>
          <w:lang w:val="en-US" w:eastAsia="zh-CN"/>
        </w:rPr>
        <w:t>四、绩效自评结果拟应用和公开情况</w:t>
      </w:r>
    </w:p>
    <w:p w14:paraId="71BB90F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default" w:ascii="仿宋" w:hAnsi="仿宋" w:eastAsia="仿宋" w:cs="仿宋"/>
          <w:color w:val="auto"/>
          <w:spacing w:val="0"/>
          <w:w w:val="100"/>
          <w:kern w:val="2"/>
          <w:sz w:val="32"/>
          <w:szCs w:val="32"/>
          <w:highlight w:val="none"/>
          <w:lang w:val="en-US" w:eastAsia="zh-CN"/>
        </w:rPr>
      </w:pPr>
      <w:r>
        <w:rPr>
          <w:rFonts w:hint="default" w:ascii="仿宋" w:hAnsi="仿宋" w:eastAsia="仿宋" w:cs="仿宋"/>
          <w:color w:val="auto"/>
          <w:spacing w:val="0"/>
          <w:w w:val="100"/>
          <w:kern w:val="2"/>
          <w:sz w:val="32"/>
          <w:szCs w:val="32"/>
          <w:highlight w:val="none"/>
          <w:lang w:val="en-US" w:eastAsia="zh-CN"/>
        </w:rPr>
        <w:t>本次绩效自评结果报送工业和信息化部信息通信发展司、</w:t>
      </w:r>
      <w:r>
        <w:rPr>
          <w:rFonts w:hint="eastAsia" w:ascii="仿宋" w:hAnsi="仿宋" w:eastAsia="仿宋" w:cs="仿宋"/>
          <w:color w:val="auto"/>
          <w:spacing w:val="0"/>
          <w:w w:val="100"/>
          <w:kern w:val="2"/>
          <w:sz w:val="32"/>
          <w:szCs w:val="32"/>
          <w:highlight w:val="none"/>
          <w:lang w:val="en-US" w:eastAsia="zh-CN"/>
        </w:rPr>
        <w:t>财政部经济建设司</w:t>
      </w:r>
      <w:r>
        <w:rPr>
          <w:rFonts w:hint="default" w:ascii="仿宋" w:hAnsi="仿宋" w:eastAsia="仿宋" w:cs="仿宋"/>
          <w:color w:val="auto"/>
          <w:spacing w:val="0"/>
          <w:w w:val="100"/>
          <w:kern w:val="2"/>
          <w:sz w:val="32"/>
          <w:szCs w:val="32"/>
          <w:highlight w:val="none"/>
          <w:lang w:val="en-US" w:eastAsia="zh-CN"/>
        </w:rPr>
        <w:t>，</w:t>
      </w:r>
      <w:r>
        <w:rPr>
          <w:rFonts w:hint="eastAsia" w:ascii="仿宋" w:hAnsi="仿宋" w:eastAsia="仿宋" w:cs="仿宋"/>
          <w:color w:val="auto"/>
          <w:spacing w:val="0"/>
          <w:w w:val="100"/>
          <w:kern w:val="2"/>
          <w:sz w:val="32"/>
          <w:szCs w:val="32"/>
          <w:highlight w:val="none"/>
          <w:lang w:val="en-US" w:eastAsia="zh-CN"/>
        </w:rPr>
        <w:t>抄送</w:t>
      </w:r>
      <w:r>
        <w:rPr>
          <w:rFonts w:hint="default" w:ascii="仿宋" w:hAnsi="仿宋" w:eastAsia="仿宋" w:cs="仿宋"/>
          <w:color w:val="auto"/>
          <w:spacing w:val="0"/>
          <w:w w:val="100"/>
          <w:kern w:val="2"/>
          <w:sz w:val="32"/>
          <w:szCs w:val="32"/>
          <w:highlight w:val="none"/>
          <w:lang w:val="en-US" w:eastAsia="zh-CN"/>
        </w:rPr>
        <w:t>自治区人大</w:t>
      </w:r>
      <w:r>
        <w:rPr>
          <w:rFonts w:hint="eastAsia" w:ascii="仿宋" w:hAnsi="仿宋" w:eastAsia="仿宋" w:cs="仿宋"/>
          <w:color w:val="auto"/>
          <w:spacing w:val="0"/>
          <w:w w:val="100"/>
          <w:kern w:val="2"/>
          <w:sz w:val="32"/>
          <w:szCs w:val="32"/>
          <w:highlight w:val="none"/>
          <w:lang w:val="en-US" w:eastAsia="zh-CN"/>
        </w:rPr>
        <w:t>财经委、财政部四川监管局，并</w:t>
      </w:r>
      <w:r>
        <w:rPr>
          <w:rFonts w:hint="default" w:ascii="仿宋" w:hAnsi="仿宋" w:eastAsia="仿宋" w:cs="仿宋"/>
          <w:color w:val="auto"/>
          <w:spacing w:val="0"/>
          <w:w w:val="100"/>
          <w:kern w:val="2"/>
          <w:sz w:val="32"/>
          <w:szCs w:val="32"/>
          <w:highlight w:val="none"/>
          <w:lang w:val="en-US" w:eastAsia="zh-CN"/>
        </w:rPr>
        <w:t>通过西藏自治区通信管理局门户网站向社会公开。</w:t>
      </w:r>
    </w:p>
    <w:p w14:paraId="43FEBDD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default" w:ascii="黑体" w:hAnsi="黑体" w:eastAsia="黑体" w:cs="黑体"/>
          <w:color w:val="auto"/>
          <w:spacing w:val="0"/>
          <w:w w:val="100"/>
          <w:kern w:val="2"/>
          <w:sz w:val="32"/>
          <w:szCs w:val="32"/>
          <w:highlight w:val="none"/>
          <w:lang w:val="en-US" w:eastAsia="zh-CN"/>
        </w:rPr>
      </w:pPr>
      <w:r>
        <w:rPr>
          <w:rFonts w:hint="eastAsia" w:ascii="黑体" w:hAnsi="黑体" w:eastAsia="黑体" w:cs="黑体"/>
          <w:color w:val="auto"/>
          <w:spacing w:val="0"/>
          <w:w w:val="100"/>
          <w:kern w:val="2"/>
          <w:sz w:val="32"/>
          <w:szCs w:val="32"/>
          <w:highlight w:val="none"/>
          <w:lang w:val="en-US" w:eastAsia="zh-CN"/>
        </w:rPr>
        <w:t>五、其他需说明的问题</w:t>
      </w:r>
    </w:p>
    <w:p w14:paraId="5F7EC8E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ascii="仿宋" w:hAnsi="仿宋" w:eastAsia="仿宋" w:cs="仿宋"/>
          <w:color w:val="auto"/>
          <w:spacing w:val="0"/>
          <w:w w:val="100"/>
          <w:kern w:val="2"/>
          <w:sz w:val="32"/>
          <w:szCs w:val="32"/>
          <w:highlight w:val="none"/>
          <w:lang w:val="en-US" w:eastAsia="zh-CN"/>
        </w:rPr>
      </w:pPr>
      <w:r>
        <w:rPr>
          <w:rFonts w:hint="eastAsia" w:ascii="仿宋" w:hAnsi="仿宋" w:eastAsia="仿宋" w:cs="仿宋"/>
          <w:color w:val="auto"/>
          <w:spacing w:val="0"/>
          <w:w w:val="100"/>
          <w:kern w:val="2"/>
          <w:sz w:val="32"/>
          <w:szCs w:val="32"/>
          <w:highlight w:val="none"/>
          <w:lang w:val="en-US" w:eastAsia="zh-CN"/>
        </w:rPr>
        <w:t>2025年度西藏电信普遍服务项目暂未涉及巡视、审计和财会监督中发现的问题及其所涉及金额。</w:t>
      </w:r>
    </w:p>
    <w:p w14:paraId="1A5D0A36">
      <w:pPr>
        <w:keepNext w:val="0"/>
        <w:keepLines w:val="0"/>
        <w:pageBreakBefore w:val="0"/>
        <w:widowControl w:val="0"/>
        <w:kinsoku/>
        <w:wordWrap/>
        <w:overflowPunct/>
        <w:topLinePunct w:val="0"/>
        <w:autoSpaceDE w:val="0"/>
        <w:autoSpaceDN/>
        <w:bidi w:val="0"/>
        <w:adjustRightInd w:val="0"/>
        <w:snapToGrid w:val="0"/>
        <w:spacing w:line="579" w:lineRule="exact"/>
        <w:ind w:firstLine="640" w:firstLineChars="200"/>
        <w:jc w:val="both"/>
        <w:textAlignment w:val="auto"/>
        <w:outlineLvl w:val="9"/>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bidi="ar"/>
        </w:rPr>
        <w:t>六、附件</w:t>
      </w:r>
    </w:p>
    <w:p w14:paraId="39EA9782">
      <w:pPr>
        <w:keepNext w:val="0"/>
        <w:keepLines w:val="0"/>
        <w:pageBreakBefore w:val="0"/>
        <w:widowControl w:val="0"/>
        <w:kinsoku/>
        <w:wordWrap/>
        <w:overflowPunct/>
        <w:topLinePunct w:val="0"/>
        <w:autoSpaceDE w:val="0"/>
        <w:autoSpaceDN/>
        <w:bidi w:val="0"/>
        <w:adjustRightInd w:val="0"/>
        <w:snapToGrid w:val="0"/>
        <w:spacing w:line="579"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bidi="ar"/>
        </w:rPr>
        <w:t>转移支付西藏电信普遍服务项目绩效目标自评表</w:t>
      </w:r>
    </w:p>
    <w:p w14:paraId="573F5972">
      <w:pPr>
        <w:pStyle w:val="7"/>
        <w:keepNext w:val="0"/>
        <w:keepLines w:val="0"/>
        <w:pageBreakBefore w:val="0"/>
        <w:widowControl w:val="0"/>
        <w:kinsoku/>
        <w:wordWrap/>
        <w:overflowPunct/>
        <w:topLinePunct w:val="0"/>
        <w:autoSpaceDN/>
        <w:bidi w:val="0"/>
        <w:spacing w:after="0" w:afterLines="0" w:line="579" w:lineRule="exact"/>
        <w:ind w:left="0" w:leftChars="0" w:firstLine="640" w:firstLineChars="200"/>
        <w:jc w:val="both"/>
        <w:textAlignment w:val="auto"/>
        <w:outlineLvl w:val="9"/>
        <w:rPr>
          <w:rFonts w:hint="default"/>
          <w:color w:val="auto"/>
          <w:spacing w:val="0"/>
          <w:sz w:val="32"/>
          <w:szCs w:val="32"/>
          <w:highlight w:val="none"/>
        </w:rPr>
      </w:pPr>
    </w:p>
    <w:p w14:paraId="74B22E91">
      <w:pPr>
        <w:keepNext w:val="0"/>
        <w:keepLines w:val="0"/>
        <w:pageBreakBefore w:val="0"/>
        <w:widowControl w:val="0"/>
        <w:kinsoku/>
        <w:wordWrap/>
        <w:overflowPunct/>
        <w:topLinePunct w:val="0"/>
        <w:autoSpaceDE w:val="0"/>
        <w:autoSpaceDN/>
        <w:bidi w:val="0"/>
        <w:adjustRightInd w:val="0"/>
        <w:snapToGrid w:val="0"/>
        <w:spacing w:line="579" w:lineRule="exact"/>
        <w:ind w:left="0" w:leftChars="0" w:firstLine="640" w:firstLineChars="200"/>
        <w:jc w:val="both"/>
        <w:textAlignment w:val="auto"/>
        <w:outlineLvl w:val="9"/>
        <w:rPr>
          <w:color w:val="auto"/>
          <w:spacing w:val="0"/>
          <w:highlight w:val="none"/>
        </w:rPr>
      </w:pPr>
      <w:r>
        <w:rPr>
          <w:rFonts w:hint="default" w:ascii="Times New Roman" w:hAnsi="Times New Roman" w:eastAsia="仿宋_GB2312" w:cs="Times New Roman"/>
          <w:color w:val="auto"/>
          <w:spacing w:val="0"/>
          <w:sz w:val="32"/>
          <w:szCs w:val="32"/>
          <w:highlight w:val="none"/>
          <w:lang w:bidi="ar"/>
        </w:rPr>
        <w:t>说明：报告中相关数据统计截止日期均为2</w:t>
      </w:r>
      <w:r>
        <w:rPr>
          <w:rFonts w:hint="default" w:ascii="Times New Roman" w:hAnsi="Times New Roman" w:eastAsia="仿宋_GB2312" w:cs="Times New Roman"/>
          <w:b w:val="0"/>
          <w:bCs w:val="0"/>
          <w:color w:val="auto"/>
          <w:spacing w:val="0"/>
          <w:sz w:val="32"/>
          <w:szCs w:val="32"/>
          <w:highlight w:val="none"/>
          <w:lang w:bidi="ar"/>
        </w:rPr>
        <w:t>02</w:t>
      </w:r>
      <w:r>
        <w:rPr>
          <w:rFonts w:hint="eastAsia" w:ascii="Times New Roman" w:hAnsi="Times New Roman" w:eastAsia="仿宋_GB2312" w:cs="Times New Roman"/>
          <w:b w:val="0"/>
          <w:bCs w:val="0"/>
          <w:color w:val="auto"/>
          <w:spacing w:val="0"/>
          <w:sz w:val="32"/>
          <w:szCs w:val="32"/>
          <w:highlight w:val="none"/>
          <w:lang w:val="en-US" w:eastAsia="zh-CN" w:bidi="ar"/>
        </w:rPr>
        <w:t>6</w:t>
      </w:r>
      <w:r>
        <w:rPr>
          <w:rFonts w:hint="default" w:ascii="Times New Roman" w:hAnsi="Times New Roman" w:eastAsia="仿宋_GB2312" w:cs="Times New Roman"/>
          <w:b w:val="0"/>
          <w:bCs w:val="0"/>
          <w:color w:val="auto"/>
          <w:spacing w:val="0"/>
          <w:sz w:val="32"/>
          <w:szCs w:val="32"/>
          <w:highlight w:val="none"/>
          <w:lang w:bidi="ar"/>
        </w:rPr>
        <w:t>年</w:t>
      </w:r>
      <w:r>
        <w:rPr>
          <w:rFonts w:hint="eastAsia" w:ascii="Times New Roman" w:hAnsi="Times New Roman" w:eastAsia="仿宋_GB2312" w:cs="Times New Roman"/>
          <w:b w:val="0"/>
          <w:bCs w:val="0"/>
          <w:color w:val="auto"/>
          <w:spacing w:val="0"/>
          <w:sz w:val="32"/>
          <w:szCs w:val="32"/>
          <w:highlight w:val="none"/>
          <w:lang w:val="en-US" w:eastAsia="zh-CN" w:bidi="ar"/>
        </w:rPr>
        <w:t>2</w:t>
      </w:r>
      <w:r>
        <w:rPr>
          <w:rFonts w:hint="default" w:ascii="Times New Roman" w:hAnsi="Times New Roman" w:eastAsia="仿宋_GB2312" w:cs="Times New Roman"/>
          <w:b w:val="0"/>
          <w:bCs w:val="0"/>
          <w:color w:val="auto"/>
          <w:spacing w:val="0"/>
          <w:sz w:val="32"/>
          <w:szCs w:val="32"/>
          <w:highlight w:val="none"/>
          <w:lang w:bidi="ar"/>
        </w:rPr>
        <w:t>月</w:t>
      </w:r>
      <w:r>
        <w:rPr>
          <w:rFonts w:hint="eastAsia" w:ascii="Times New Roman" w:hAnsi="Times New Roman" w:eastAsia="仿宋_GB2312" w:cs="Times New Roman"/>
          <w:b w:val="0"/>
          <w:bCs w:val="0"/>
          <w:color w:val="auto"/>
          <w:spacing w:val="0"/>
          <w:sz w:val="32"/>
          <w:szCs w:val="32"/>
          <w:highlight w:val="none"/>
          <w:lang w:val="en-US" w:eastAsia="zh-CN" w:bidi="ar"/>
        </w:rPr>
        <w:t>28</w:t>
      </w:r>
      <w:r>
        <w:rPr>
          <w:rFonts w:hint="default" w:ascii="Times New Roman" w:hAnsi="Times New Roman" w:eastAsia="仿宋_GB2312" w:cs="Times New Roman"/>
          <w:b w:val="0"/>
          <w:bCs w:val="0"/>
          <w:color w:val="auto"/>
          <w:spacing w:val="0"/>
          <w:sz w:val="32"/>
          <w:szCs w:val="32"/>
          <w:highlight w:val="none"/>
          <w:lang w:bidi="ar"/>
        </w:rPr>
        <w:t>日</w:t>
      </w:r>
    </w:p>
    <w:p w14:paraId="6F66D73D">
      <w:pPr>
        <w:pStyle w:val="2"/>
        <w:keepNext w:val="0"/>
        <w:keepLines w:val="0"/>
        <w:pageBreakBefore w:val="0"/>
        <w:widowControl w:val="0"/>
        <w:kinsoku/>
        <w:wordWrap/>
        <w:overflowPunct/>
        <w:topLinePunct w:val="0"/>
        <w:autoSpaceDN/>
        <w:bidi w:val="0"/>
        <w:spacing w:line="579" w:lineRule="exact"/>
        <w:ind w:firstLine="420" w:firstLineChars="200"/>
        <w:textAlignment w:val="auto"/>
        <w:rPr>
          <w:rFonts w:hint="eastAsia"/>
          <w:highlight w:val="none"/>
          <w:lang w:val="en-US" w:eastAsia="zh-CN"/>
        </w:rPr>
      </w:pPr>
    </w:p>
    <w:p w14:paraId="01D4C8ED">
      <w:pPr>
        <w:pStyle w:val="11"/>
        <w:rPr>
          <w:rFonts w:hint="eastAsia"/>
          <w:highlight w:val="none"/>
          <w:lang w:val="en-US" w:eastAsia="zh-CN"/>
        </w:rPr>
      </w:pPr>
    </w:p>
    <w:p w14:paraId="42312667">
      <w:pPr>
        <w:pStyle w:val="11"/>
        <w:rPr>
          <w:rFonts w:hint="eastAsia"/>
          <w:highlight w:val="none"/>
          <w:lang w:val="en-US" w:eastAsia="zh-CN"/>
        </w:rPr>
      </w:pPr>
    </w:p>
    <w:p w14:paraId="515F97B7">
      <w:pPr>
        <w:pStyle w:val="11"/>
        <w:rPr>
          <w:rFonts w:hint="eastAsia"/>
          <w:highlight w:val="none"/>
          <w:lang w:val="en-US" w:eastAsia="zh-CN"/>
        </w:rPr>
      </w:pPr>
    </w:p>
    <w:p w14:paraId="60B25DFE">
      <w:pPr>
        <w:pStyle w:val="11"/>
        <w:rPr>
          <w:rFonts w:hint="eastAsia"/>
          <w:highlight w:val="none"/>
          <w:lang w:val="en-US" w:eastAsia="zh-CN"/>
        </w:rPr>
      </w:pPr>
    </w:p>
    <w:p w14:paraId="64B17EB9">
      <w:pPr>
        <w:pStyle w:val="11"/>
        <w:rPr>
          <w:rFonts w:hint="eastAsia"/>
          <w:highlight w:val="none"/>
          <w:lang w:val="en-US" w:eastAsia="zh-CN"/>
        </w:rPr>
      </w:pPr>
    </w:p>
    <w:p w14:paraId="261F5189">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lang w:val="en-US" w:eastAsia="zh-CN"/>
        </w:rPr>
      </w:pPr>
      <w:r>
        <w:rPr>
          <w:rFonts w:hint="eastAsia" w:ascii="黑体" w:hAnsi="黑体" w:eastAsia="黑体" w:cs="黑体"/>
          <w:color w:val="auto"/>
          <w:spacing w:val="0"/>
          <w:w w:val="100"/>
          <w:kern w:val="2"/>
          <w:sz w:val="32"/>
          <w:szCs w:val="32"/>
          <w:highlight w:val="none"/>
          <w:lang w:val="en-US" w:eastAsia="zh-CN"/>
        </w:rPr>
        <w:t>附件</w:t>
      </w:r>
    </w:p>
    <w:p w14:paraId="30791308">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color w:val="auto"/>
          <w:spacing w:val="-11"/>
          <w:w w:val="100"/>
          <w:kern w:val="2"/>
          <w:sz w:val="44"/>
          <w:szCs w:val="44"/>
          <w:highlight w:val="none"/>
          <w:lang w:val="en-US" w:eastAsia="zh-CN"/>
        </w:rPr>
      </w:pPr>
      <w:r>
        <w:rPr>
          <w:rFonts w:hint="eastAsia" w:ascii="方正小标宋简体" w:hAnsi="方正小标宋简体" w:eastAsia="方正小标宋简体" w:cs="方正小标宋简体"/>
          <w:color w:val="auto"/>
          <w:spacing w:val="-11"/>
          <w:w w:val="100"/>
          <w:kern w:val="2"/>
          <w:sz w:val="44"/>
          <w:szCs w:val="44"/>
          <w:highlight w:val="none"/>
          <w:lang w:val="en-US" w:eastAsia="zh-CN"/>
        </w:rPr>
        <w:t>转移支付西藏电信普遍服务项目绩效目标自评表</w:t>
      </w:r>
    </w:p>
    <w:p w14:paraId="527E7AC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center"/>
        <w:textAlignment w:val="auto"/>
        <w:outlineLvl w:val="9"/>
        <w:rPr>
          <w:rFonts w:hint="eastAsia"/>
          <w:highlight w:val="none"/>
          <w:lang w:val="en-US" w:eastAsia="zh-CN"/>
        </w:rPr>
      </w:pPr>
      <w:r>
        <w:rPr>
          <w:rFonts w:hint="eastAsia" w:ascii="仿宋" w:hAnsi="仿宋" w:eastAsia="仿宋" w:cs="仿宋"/>
          <w:color w:val="auto"/>
          <w:spacing w:val="0"/>
          <w:w w:val="100"/>
          <w:kern w:val="2"/>
          <w:sz w:val="28"/>
          <w:szCs w:val="28"/>
          <w:highlight w:val="none"/>
          <w:lang w:val="en-US" w:eastAsia="zh-CN"/>
        </w:rPr>
        <w:t>（2025年度）</w:t>
      </w:r>
    </w:p>
    <w:tbl>
      <w:tblPr>
        <w:tblStyle w:val="8"/>
        <w:tblW w:w="9585"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419"/>
        <w:gridCol w:w="1042"/>
        <w:gridCol w:w="1706"/>
        <w:gridCol w:w="810"/>
        <w:gridCol w:w="1320"/>
        <w:gridCol w:w="1627"/>
        <w:gridCol w:w="1785"/>
      </w:tblGrid>
      <w:tr w14:paraId="103A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6242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转移支付（项目）名称</w:t>
            </w:r>
          </w:p>
        </w:tc>
        <w:tc>
          <w:tcPr>
            <w:tcW w:w="7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E5D40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2025年度西藏电信普遍服务项目</w:t>
            </w:r>
          </w:p>
        </w:tc>
      </w:tr>
      <w:tr w14:paraId="411F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F855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中央主管部门</w:t>
            </w:r>
          </w:p>
        </w:tc>
        <w:tc>
          <w:tcPr>
            <w:tcW w:w="72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0444A">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工业和信息化部</w:t>
            </w:r>
          </w:p>
        </w:tc>
      </w:tr>
      <w:tr w14:paraId="70B1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3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3FE3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地方主管部门</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299D8">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西藏自治区通信管理局</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29D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资金使用单位</w:t>
            </w:r>
          </w:p>
        </w:tc>
        <w:tc>
          <w:tcPr>
            <w:tcW w:w="3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7A3E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西藏自治区通信管理局</w:t>
            </w:r>
          </w:p>
        </w:tc>
      </w:tr>
      <w:tr w14:paraId="1C46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23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5215F">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资金投入情况</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（万元）</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F0B">
            <w:pPr>
              <w:rPr>
                <w:rFonts w:hint="eastAsia" w:ascii="仿宋" w:hAnsi="仿宋" w:eastAsia="仿宋" w:cs="仿宋"/>
                <w:i w:val="0"/>
                <w:iCs w:val="0"/>
                <w:color w:val="000000"/>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954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全年预算数（A）</w:t>
            </w:r>
          </w:p>
        </w:tc>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6834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全年执行数（B）</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0C0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预算执行率（B/A×100%)</w:t>
            </w:r>
          </w:p>
        </w:tc>
      </w:tr>
      <w:tr w14:paraId="400D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64D5">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B200">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年度资金总额：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1DD4">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48501</w:t>
            </w:r>
          </w:p>
        </w:tc>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F9A1A">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48501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2E73">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100%</w:t>
            </w:r>
          </w:p>
        </w:tc>
      </w:tr>
      <w:tr w14:paraId="7E89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DF7D">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2D07">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Style w:val="12"/>
                <w:rFonts w:hint="eastAsia" w:ascii="仿宋" w:hAnsi="仿宋" w:eastAsia="仿宋" w:cs="仿宋"/>
                <w:sz w:val="18"/>
                <w:szCs w:val="18"/>
                <w:highlight w:val="none"/>
                <w:lang w:val="en-US" w:eastAsia="zh-CN" w:bidi="ar"/>
              </w:rPr>
              <w:t>其中：中央财政资金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9801">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48501</w:t>
            </w:r>
          </w:p>
        </w:tc>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CDC1B">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48501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5E4">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100%</w:t>
            </w:r>
          </w:p>
        </w:tc>
      </w:tr>
      <w:tr w14:paraId="2A88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EAD8">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DC2">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Style w:val="13"/>
                <w:rFonts w:hint="eastAsia" w:ascii="仿宋" w:hAnsi="仿宋" w:eastAsia="仿宋" w:cs="仿宋"/>
                <w:sz w:val="18"/>
                <w:szCs w:val="18"/>
                <w:highlight w:val="none"/>
                <w:lang w:val="en-US" w:eastAsia="zh-CN" w:bidi="ar"/>
              </w:rPr>
              <w:t xml:space="preserve"> </w:t>
            </w:r>
            <w:r>
              <w:rPr>
                <w:rStyle w:val="14"/>
                <w:rFonts w:hint="eastAsia" w:ascii="仿宋" w:hAnsi="仿宋" w:eastAsia="仿宋" w:cs="仿宋"/>
                <w:sz w:val="18"/>
                <w:szCs w:val="18"/>
                <w:highlight w:val="none"/>
                <w:lang w:val="en-US" w:eastAsia="zh-CN" w:bidi="ar"/>
              </w:rPr>
              <w:t xml:space="preserve">      地方资金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8FD6">
            <w:pPr>
              <w:jc w:val="center"/>
              <w:rPr>
                <w:rFonts w:hint="eastAsia" w:ascii="仿宋" w:hAnsi="仿宋" w:eastAsia="仿宋" w:cs="仿宋"/>
                <w:i w:val="0"/>
                <w:iCs w:val="0"/>
                <w:color w:val="000000"/>
                <w:sz w:val="18"/>
                <w:szCs w:val="18"/>
                <w:highlight w:val="none"/>
                <w:u w:val="none"/>
              </w:rPr>
            </w:pPr>
          </w:p>
        </w:tc>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ECAF">
            <w:pPr>
              <w:jc w:val="center"/>
              <w:rPr>
                <w:rFonts w:hint="eastAsia" w:ascii="仿宋" w:hAnsi="仿宋" w:eastAsia="仿宋" w:cs="仿宋"/>
                <w:i w:val="0"/>
                <w:iCs w:val="0"/>
                <w:color w:val="000000"/>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1399">
            <w:pPr>
              <w:jc w:val="left"/>
              <w:rPr>
                <w:rFonts w:hint="eastAsia" w:ascii="仿宋" w:hAnsi="仿宋" w:eastAsia="仿宋" w:cs="仿宋"/>
                <w:i w:val="0"/>
                <w:iCs w:val="0"/>
                <w:color w:val="000000"/>
                <w:sz w:val="18"/>
                <w:szCs w:val="18"/>
                <w:highlight w:val="none"/>
                <w:u w:val="none"/>
              </w:rPr>
            </w:pPr>
          </w:p>
        </w:tc>
      </w:tr>
      <w:tr w14:paraId="2713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50F6">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2D61">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      </w:t>
            </w:r>
            <w:r>
              <w:rPr>
                <w:rStyle w:val="12"/>
                <w:rFonts w:hint="eastAsia" w:ascii="仿宋" w:hAnsi="仿宋" w:eastAsia="仿宋" w:cs="仿宋"/>
                <w:sz w:val="18"/>
                <w:szCs w:val="18"/>
                <w:highlight w:val="none"/>
                <w:lang w:val="en-US" w:eastAsia="zh-CN" w:bidi="ar"/>
              </w:rPr>
              <w:t xml:space="preserve"> 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EF53">
            <w:pPr>
              <w:jc w:val="center"/>
              <w:rPr>
                <w:rFonts w:hint="eastAsia" w:ascii="仿宋" w:hAnsi="仿宋" w:eastAsia="仿宋" w:cs="仿宋"/>
                <w:i w:val="0"/>
                <w:iCs w:val="0"/>
                <w:color w:val="000000"/>
                <w:sz w:val="18"/>
                <w:szCs w:val="18"/>
                <w:highlight w:val="none"/>
                <w:u w:val="none"/>
              </w:rPr>
            </w:pPr>
          </w:p>
        </w:tc>
        <w:tc>
          <w:tcPr>
            <w:tcW w:w="2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FEFDD">
            <w:pPr>
              <w:jc w:val="center"/>
              <w:rPr>
                <w:rFonts w:hint="eastAsia" w:ascii="仿宋" w:hAnsi="仿宋" w:eastAsia="仿宋" w:cs="仿宋"/>
                <w:i w:val="0"/>
                <w:iCs w:val="0"/>
                <w:color w:val="000000"/>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3D59">
            <w:pPr>
              <w:jc w:val="left"/>
              <w:rPr>
                <w:rFonts w:hint="eastAsia" w:ascii="仿宋" w:hAnsi="仿宋" w:eastAsia="仿宋" w:cs="仿宋"/>
                <w:i w:val="0"/>
                <w:iCs w:val="0"/>
                <w:color w:val="000000"/>
                <w:sz w:val="18"/>
                <w:szCs w:val="18"/>
                <w:highlight w:val="none"/>
                <w:u w:val="none"/>
              </w:rPr>
            </w:pPr>
          </w:p>
        </w:tc>
      </w:tr>
      <w:tr w14:paraId="301C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3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FC5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资金管理情况</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000E">
            <w:pPr>
              <w:rPr>
                <w:rFonts w:hint="eastAsia" w:ascii="仿宋" w:hAnsi="仿宋" w:eastAsia="仿宋" w:cs="仿宋"/>
                <w:i w:val="0"/>
                <w:iCs w:val="0"/>
                <w:color w:val="000000"/>
                <w:sz w:val="18"/>
                <w:szCs w:val="18"/>
                <w:highlight w:val="none"/>
                <w:u w:val="none"/>
              </w:rPr>
            </w:pP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FBAA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情况说明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AE9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存在问题和改进措施</w:t>
            </w:r>
          </w:p>
        </w:tc>
      </w:tr>
      <w:tr w14:paraId="47CC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E864">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B4B0">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分配科学性</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28F82">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严格按照转移支付制度以及电信普遍服务资金管理办法规定的范围和标准分配。</w:t>
            </w:r>
          </w:p>
        </w:tc>
        <w:tc>
          <w:tcPr>
            <w:tcW w:w="1785" w:type="dxa"/>
            <w:vMerge w:val="restart"/>
            <w:tcBorders>
              <w:top w:val="single" w:color="000000" w:sz="4" w:space="0"/>
              <w:left w:val="single" w:color="000000" w:sz="4" w:space="0"/>
              <w:right w:val="single" w:color="000000" w:sz="4" w:space="0"/>
            </w:tcBorders>
            <w:shd w:val="clear" w:color="auto" w:fill="auto"/>
            <w:vAlign w:val="center"/>
          </w:tcPr>
          <w:p w14:paraId="05AF2E63">
            <w:pPr>
              <w:jc w:val="center"/>
              <w:rPr>
                <w:rFonts w:hint="eastAsia" w:ascii="仿宋" w:hAnsi="仿宋" w:eastAsia="仿宋" w:cs="仿宋"/>
                <w:i w:val="0"/>
                <w:iCs w:val="0"/>
                <w:color w:val="000000"/>
                <w:sz w:val="18"/>
                <w:szCs w:val="18"/>
                <w:highlight w:val="none"/>
                <w:u w:val="none"/>
                <w:lang w:eastAsia="zh-CN"/>
              </w:rPr>
            </w:pPr>
            <w:r>
              <w:rPr>
                <w:rFonts w:hint="eastAsia" w:ascii="仿宋" w:hAnsi="仿宋" w:eastAsia="仿宋" w:cs="仿宋"/>
                <w:i w:val="0"/>
                <w:iCs w:val="0"/>
                <w:color w:val="000000"/>
                <w:sz w:val="18"/>
                <w:szCs w:val="18"/>
                <w:highlight w:val="none"/>
                <w:u w:val="none"/>
                <w:lang w:eastAsia="zh-CN"/>
              </w:rPr>
              <w:t>无</w:t>
            </w:r>
          </w:p>
        </w:tc>
      </w:tr>
      <w:tr w14:paraId="426AC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340F">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84E">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下达及时性</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E73E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严格按规定的时限要求下达</w:t>
            </w:r>
          </w:p>
        </w:tc>
        <w:tc>
          <w:tcPr>
            <w:tcW w:w="1785" w:type="dxa"/>
            <w:vMerge w:val="continue"/>
            <w:tcBorders>
              <w:left w:val="single" w:color="000000" w:sz="4" w:space="0"/>
              <w:right w:val="single" w:color="000000" w:sz="4" w:space="0"/>
            </w:tcBorders>
            <w:shd w:val="clear" w:color="auto" w:fill="auto"/>
            <w:vAlign w:val="center"/>
          </w:tcPr>
          <w:p w14:paraId="539DE487">
            <w:pPr>
              <w:jc w:val="center"/>
              <w:rPr>
                <w:rFonts w:hint="eastAsia" w:ascii="仿宋" w:hAnsi="仿宋" w:eastAsia="仿宋" w:cs="仿宋"/>
                <w:i w:val="0"/>
                <w:iCs w:val="0"/>
                <w:color w:val="000000"/>
                <w:sz w:val="18"/>
                <w:szCs w:val="18"/>
                <w:highlight w:val="none"/>
                <w:u w:val="none"/>
              </w:rPr>
            </w:pPr>
          </w:p>
        </w:tc>
      </w:tr>
      <w:tr w14:paraId="16A4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A9A5">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F7EB">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拨付合规性</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5B4B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未出现将资金从国库转入财政专户或支付到预算单位实有资金账户等问题。</w:t>
            </w:r>
          </w:p>
        </w:tc>
        <w:tc>
          <w:tcPr>
            <w:tcW w:w="1785" w:type="dxa"/>
            <w:vMerge w:val="continue"/>
            <w:tcBorders>
              <w:left w:val="single" w:color="000000" w:sz="4" w:space="0"/>
              <w:right w:val="single" w:color="000000" w:sz="4" w:space="0"/>
            </w:tcBorders>
            <w:shd w:val="clear" w:color="auto" w:fill="auto"/>
            <w:vAlign w:val="center"/>
          </w:tcPr>
          <w:p w14:paraId="3E0B881E">
            <w:pPr>
              <w:jc w:val="center"/>
              <w:rPr>
                <w:rFonts w:hint="eastAsia" w:ascii="仿宋" w:hAnsi="仿宋" w:eastAsia="仿宋" w:cs="仿宋"/>
                <w:i w:val="0"/>
                <w:iCs w:val="0"/>
                <w:color w:val="000000"/>
                <w:sz w:val="18"/>
                <w:szCs w:val="18"/>
                <w:highlight w:val="none"/>
                <w:u w:val="none"/>
              </w:rPr>
            </w:pPr>
          </w:p>
        </w:tc>
      </w:tr>
      <w:tr w14:paraId="00E1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63E8">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9E5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使用规范性</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DE9A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严格按照下达预算的科目和项目执行，未出现截留、挤占、挪用或擅自调整等问题。</w:t>
            </w:r>
          </w:p>
        </w:tc>
        <w:tc>
          <w:tcPr>
            <w:tcW w:w="1785" w:type="dxa"/>
            <w:vMerge w:val="continue"/>
            <w:tcBorders>
              <w:left w:val="single" w:color="000000" w:sz="4" w:space="0"/>
              <w:right w:val="single" w:color="000000" w:sz="4" w:space="0"/>
            </w:tcBorders>
            <w:shd w:val="clear" w:color="auto" w:fill="auto"/>
            <w:vAlign w:val="center"/>
          </w:tcPr>
          <w:p w14:paraId="0EE9BAC5">
            <w:pPr>
              <w:jc w:val="center"/>
              <w:rPr>
                <w:rFonts w:hint="eastAsia" w:ascii="仿宋" w:hAnsi="仿宋" w:eastAsia="仿宋" w:cs="仿宋"/>
                <w:i w:val="0"/>
                <w:iCs w:val="0"/>
                <w:color w:val="000000"/>
                <w:sz w:val="18"/>
                <w:szCs w:val="18"/>
                <w:highlight w:val="none"/>
                <w:u w:val="none"/>
              </w:rPr>
            </w:pPr>
          </w:p>
        </w:tc>
      </w:tr>
      <w:tr w14:paraId="0C82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6441">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8D1A">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执行准确性</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B728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严格按照批复资金执行，不存在执行数偏离的情况。</w:t>
            </w:r>
          </w:p>
        </w:tc>
        <w:tc>
          <w:tcPr>
            <w:tcW w:w="1785" w:type="dxa"/>
            <w:vMerge w:val="continue"/>
            <w:tcBorders>
              <w:left w:val="single" w:color="000000" w:sz="4" w:space="0"/>
              <w:right w:val="single" w:color="000000" w:sz="4" w:space="0"/>
            </w:tcBorders>
            <w:shd w:val="clear" w:color="auto" w:fill="auto"/>
            <w:vAlign w:val="center"/>
          </w:tcPr>
          <w:p w14:paraId="258169B6">
            <w:pPr>
              <w:jc w:val="center"/>
              <w:rPr>
                <w:rFonts w:hint="eastAsia" w:ascii="仿宋" w:hAnsi="仿宋" w:eastAsia="仿宋" w:cs="仿宋"/>
                <w:i w:val="0"/>
                <w:iCs w:val="0"/>
                <w:color w:val="000000"/>
                <w:sz w:val="18"/>
                <w:szCs w:val="18"/>
                <w:highlight w:val="none"/>
                <w:u w:val="none"/>
              </w:rPr>
            </w:pPr>
          </w:p>
        </w:tc>
      </w:tr>
      <w:tr w14:paraId="39E8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DC47">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1060">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预算绩效管理情况</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7916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将资金执行纳入绩效管理范围进行监控。</w:t>
            </w:r>
          </w:p>
        </w:tc>
        <w:tc>
          <w:tcPr>
            <w:tcW w:w="1785" w:type="dxa"/>
            <w:vMerge w:val="continue"/>
            <w:tcBorders>
              <w:left w:val="single" w:color="000000" w:sz="4" w:space="0"/>
              <w:right w:val="single" w:color="000000" w:sz="4" w:space="0"/>
            </w:tcBorders>
            <w:shd w:val="clear" w:color="auto" w:fill="auto"/>
            <w:vAlign w:val="center"/>
          </w:tcPr>
          <w:p w14:paraId="05ADC593">
            <w:pPr>
              <w:jc w:val="center"/>
              <w:rPr>
                <w:rFonts w:hint="eastAsia" w:ascii="仿宋" w:hAnsi="仿宋" w:eastAsia="仿宋" w:cs="仿宋"/>
                <w:i w:val="0"/>
                <w:iCs w:val="0"/>
                <w:color w:val="000000"/>
                <w:sz w:val="18"/>
                <w:szCs w:val="18"/>
                <w:highlight w:val="none"/>
                <w:u w:val="none"/>
              </w:rPr>
            </w:pPr>
          </w:p>
        </w:tc>
      </w:tr>
      <w:tr w14:paraId="29C2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9282">
            <w:pPr>
              <w:jc w:val="center"/>
              <w:rPr>
                <w:rFonts w:hint="eastAsia" w:ascii="仿宋" w:hAnsi="仿宋" w:eastAsia="仿宋" w:cs="仿宋"/>
                <w:i w:val="0"/>
                <w:iCs w:val="0"/>
                <w:color w:val="000000"/>
                <w:sz w:val="18"/>
                <w:szCs w:val="18"/>
                <w:highlight w:val="none"/>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E549">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支出责任履行情况</w:t>
            </w:r>
          </w:p>
        </w:tc>
        <w:tc>
          <w:tcPr>
            <w:tcW w:w="3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04FC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严格按照电信普遍服务资金管理办法执行。</w:t>
            </w:r>
          </w:p>
        </w:tc>
        <w:tc>
          <w:tcPr>
            <w:tcW w:w="1785" w:type="dxa"/>
            <w:vMerge w:val="continue"/>
            <w:tcBorders>
              <w:left w:val="single" w:color="000000" w:sz="4" w:space="0"/>
              <w:bottom w:val="single" w:color="000000" w:sz="4" w:space="0"/>
              <w:right w:val="single" w:color="000000" w:sz="4" w:space="0"/>
            </w:tcBorders>
            <w:shd w:val="clear" w:color="auto" w:fill="auto"/>
            <w:vAlign w:val="center"/>
          </w:tcPr>
          <w:p w14:paraId="39A2B7D2">
            <w:pPr>
              <w:jc w:val="center"/>
              <w:rPr>
                <w:rFonts w:hint="eastAsia" w:ascii="仿宋" w:hAnsi="仿宋" w:eastAsia="仿宋" w:cs="仿宋"/>
                <w:i w:val="0"/>
                <w:iCs w:val="0"/>
                <w:color w:val="000000"/>
                <w:sz w:val="18"/>
                <w:szCs w:val="18"/>
                <w:highlight w:val="none"/>
                <w:u w:val="none"/>
              </w:rPr>
            </w:pPr>
          </w:p>
        </w:tc>
      </w:tr>
      <w:tr w14:paraId="52B2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76" w:type="dxa"/>
            <w:vMerge w:val="restart"/>
            <w:tcBorders>
              <w:top w:val="nil"/>
              <w:left w:val="single" w:color="000000" w:sz="4" w:space="0"/>
              <w:bottom w:val="single" w:color="000000" w:sz="4" w:space="0"/>
              <w:right w:val="single" w:color="000000" w:sz="4" w:space="0"/>
            </w:tcBorders>
            <w:shd w:val="clear" w:color="auto" w:fill="auto"/>
            <w:vAlign w:val="center"/>
          </w:tcPr>
          <w:p w14:paraId="4D083F1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总体目标完成情况</w:t>
            </w:r>
          </w:p>
        </w:tc>
        <w:tc>
          <w:tcPr>
            <w:tcW w:w="3977" w:type="dxa"/>
            <w:gridSpan w:val="4"/>
            <w:tcBorders>
              <w:top w:val="nil"/>
              <w:left w:val="single" w:color="000000" w:sz="4" w:space="0"/>
              <w:bottom w:val="single" w:color="000000" w:sz="4" w:space="0"/>
              <w:right w:val="single" w:color="000000" w:sz="4" w:space="0"/>
            </w:tcBorders>
            <w:shd w:val="clear" w:color="auto" w:fill="auto"/>
            <w:vAlign w:val="center"/>
          </w:tcPr>
          <w:p w14:paraId="69940B6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总体目标</w:t>
            </w:r>
          </w:p>
        </w:tc>
        <w:tc>
          <w:tcPr>
            <w:tcW w:w="4732" w:type="dxa"/>
            <w:gridSpan w:val="3"/>
            <w:tcBorders>
              <w:top w:val="nil"/>
              <w:left w:val="single" w:color="000000" w:sz="4" w:space="0"/>
              <w:bottom w:val="single" w:color="000000" w:sz="4" w:space="0"/>
              <w:right w:val="single" w:color="000000" w:sz="4" w:space="0"/>
            </w:tcBorders>
            <w:shd w:val="clear" w:color="auto" w:fill="auto"/>
            <w:vAlign w:val="center"/>
          </w:tcPr>
          <w:p w14:paraId="6AF2405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全年实际完成情况</w:t>
            </w:r>
          </w:p>
        </w:tc>
      </w:tr>
      <w:tr w14:paraId="1915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876" w:type="dxa"/>
            <w:vMerge w:val="continue"/>
            <w:tcBorders>
              <w:top w:val="nil"/>
              <w:left w:val="single" w:color="000000" w:sz="4" w:space="0"/>
              <w:bottom w:val="single" w:color="000000" w:sz="4" w:space="0"/>
              <w:right w:val="single" w:color="000000" w:sz="4" w:space="0"/>
            </w:tcBorders>
            <w:shd w:val="clear" w:color="auto" w:fill="auto"/>
            <w:vAlign w:val="center"/>
          </w:tcPr>
          <w:p w14:paraId="2E838468">
            <w:pPr>
              <w:jc w:val="center"/>
              <w:rPr>
                <w:rFonts w:hint="eastAsia" w:ascii="仿宋" w:hAnsi="仿宋" w:eastAsia="仿宋" w:cs="仿宋"/>
                <w:i w:val="0"/>
                <w:iCs w:val="0"/>
                <w:color w:val="000000"/>
                <w:sz w:val="18"/>
                <w:szCs w:val="18"/>
                <w:highlight w:val="none"/>
                <w:u w:val="none"/>
              </w:rPr>
            </w:pP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9CFF7">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rPr>
              <w:t>中央补助资金及时拨付企业，推进边疆5G网络建设和行政村5G网络建设，企业按合同要求完成基站建设任务。</w:t>
            </w:r>
          </w:p>
        </w:tc>
        <w:tc>
          <w:tcPr>
            <w:tcW w:w="4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29AA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rPr>
              <w:t>截至目前，行政村项目已完成601个5G基站建设，进度达98.8%；边疆项目已完成337个基站建设，进度达96.5%，该批次中央补助资金已全额拨付至企业。</w:t>
            </w:r>
          </w:p>
        </w:tc>
      </w:tr>
      <w:tr w14:paraId="7E90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5C89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绩效指标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9B2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一级</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D4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二级指标</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58BD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5E2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指标值</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D46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全年实际完成值</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25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未完成原因和改进措施</w:t>
            </w:r>
          </w:p>
        </w:tc>
      </w:tr>
      <w:tr w14:paraId="4B21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31D8DD">
            <w:pPr>
              <w:jc w:val="center"/>
              <w:rPr>
                <w:rFonts w:hint="eastAsia" w:ascii="仿宋" w:hAnsi="仿宋" w:eastAsia="仿宋" w:cs="仿宋"/>
                <w:i w:val="0"/>
                <w:iCs w:val="0"/>
                <w:color w:val="000000"/>
                <w:sz w:val="18"/>
                <w:szCs w:val="18"/>
                <w:highlight w:val="none"/>
                <w:u w:val="none"/>
              </w:rPr>
            </w:pP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96DC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产</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出</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指</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标</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943B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数量指标</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3B75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部署边疆5G基站</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建设数量（个）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D16">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349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FD10">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337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AB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bidi="ar-SA"/>
              </w:rPr>
            </w:pPr>
            <w:r>
              <w:rPr>
                <w:rFonts w:hint="eastAsia" w:ascii="仿宋" w:hAnsi="仿宋" w:eastAsia="仿宋" w:cs="仿宋"/>
                <w:color w:val="auto"/>
                <w:spacing w:val="0"/>
                <w:w w:val="100"/>
                <w:kern w:val="2"/>
                <w:sz w:val="20"/>
                <w:szCs w:val="20"/>
                <w:highlight w:val="none"/>
                <w:vertAlign w:val="baseline"/>
                <w:lang w:val="en-US" w:eastAsia="zh-CN"/>
              </w:rPr>
              <w:t>合同工期截止到2026年4月9日，目前仍处于建设期内。</w:t>
            </w:r>
          </w:p>
        </w:tc>
      </w:tr>
      <w:tr w14:paraId="0F51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14CC3">
            <w:pPr>
              <w:jc w:val="center"/>
              <w:rPr>
                <w:rFonts w:hint="eastAsia" w:ascii="仿宋" w:hAnsi="仿宋" w:eastAsia="仿宋" w:cs="仿宋"/>
                <w:i w:val="0"/>
                <w:iCs w:val="0"/>
                <w:color w:val="000000"/>
                <w:sz w:val="18"/>
                <w:szCs w:val="18"/>
                <w:highlight w:val="none"/>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A426">
            <w:pPr>
              <w:jc w:val="center"/>
              <w:rPr>
                <w:rFonts w:hint="eastAsia" w:ascii="仿宋" w:hAnsi="仿宋" w:eastAsia="仿宋" w:cs="仿宋"/>
                <w:i w:val="0"/>
                <w:iCs w:val="0"/>
                <w:color w:val="000000"/>
                <w:sz w:val="18"/>
                <w:szCs w:val="18"/>
                <w:highlight w:val="none"/>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8A95">
            <w:pPr>
              <w:jc w:val="center"/>
              <w:rPr>
                <w:rFonts w:hint="eastAsia" w:ascii="仿宋" w:hAnsi="仿宋" w:eastAsia="仿宋" w:cs="仿宋"/>
                <w:i w:val="0"/>
                <w:iCs w:val="0"/>
                <w:color w:val="000000"/>
                <w:sz w:val="18"/>
                <w:szCs w:val="18"/>
                <w:highlight w:val="none"/>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F84F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部署行政村5G基站</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建设数量（个）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9D14">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608</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0337">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601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8C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color w:val="auto"/>
                <w:spacing w:val="0"/>
                <w:w w:val="100"/>
                <w:kern w:val="2"/>
                <w:sz w:val="20"/>
                <w:szCs w:val="20"/>
                <w:highlight w:val="none"/>
                <w:vertAlign w:val="baseline"/>
                <w:lang w:val="en-US" w:eastAsia="zh-CN" w:bidi="ar-SA"/>
              </w:rPr>
            </w:pPr>
            <w:r>
              <w:rPr>
                <w:rFonts w:hint="eastAsia" w:ascii="仿宋" w:hAnsi="仿宋" w:eastAsia="仿宋" w:cs="仿宋"/>
                <w:color w:val="auto"/>
                <w:spacing w:val="0"/>
                <w:w w:val="100"/>
                <w:kern w:val="2"/>
                <w:sz w:val="20"/>
                <w:szCs w:val="20"/>
                <w:highlight w:val="none"/>
                <w:vertAlign w:val="baseline"/>
                <w:lang w:val="en-US" w:eastAsia="zh-CN"/>
              </w:rPr>
              <w:t>合同工期截止到2026年5月19日，目前仍处于建设期内</w:t>
            </w:r>
          </w:p>
        </w:tc>
      </w:tr>
      <w:tr w14:paraId="6307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E13898">
            <w:pPr>
              <w:jc w:val="center"/>
              <w:rPr>
                <w:rFonts w:hint="eastAsia" w:ascii="仿宋" w:hAnsi="仿宋" w:eastAsia="仿宋" w:cs="仿宋"/>
                <w:i w:val="0"/>
                <w:iCs w:val="0"/>
                <w:color w:val="000000"/>
                <w:sz w:val="18"/>
                <w:szCs w:val="18"/>
                <w:highlight w:val="none"/>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31B04">
            <w:pPr>
              <w:jc w:val="center"/>
              <w:rPr>
                <w:rFonts w:hint="eastAsia" w:ascii="仿宋" w:hAnsi="仿宋" w:eastAsia="仿宋" w:cs="仿宋"/>
                <w:i w:val="0"/>
                <w:iCs w:val="0"/>
                <w:color w:val="000000"/>
                <w:sz w:val="18"/>
                <w:szCs w:val="18"/>
                <w:highlight w:val="none"/>
                <w:u w:val="none"/>
              </w:rPr>
            </w:pP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D2709">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质量指标</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4C1C3">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完工项目验收合格率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4378">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r>
              <w:rPr>
                <w:rStyle w:val="13"/>
                <w:rFonts w:hint="eastAsia" w:ascii="仿宋" w:hAnsi="仿宋" w:eastAsia="仿宋" w:cs="仿宋"/>
                <w:sz w:val="18"/>
                <w:szCs w:val="18"/>
                <w:highlight w:val="none"/>
                <w:lang w:val="en-US" w:eastAsia="zh-CN" w:bidi="ar"/>
              </w:rPr>
              <w:t>99%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102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A5E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企业正在开展建设，项目未到验收节点。</w:t>
            </w:r>
          </w:p>
        </w:tc>
      </w:tr>
      <w:tr w14:paraId="31BA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DCF461">
            <w:pPr>
              <w:jc w:val="center"/>
              <w:rPr>
                <w:rFonts w:hint="eastAsia" w:ascii="仿宋" w:hAnsi="仿宋" w:eastAsia="仿宋" w:cs="仿宋"/>
                <w:i w:val="0"/>
                <w:iCs w:val="0"/>
                <w:color w:val="000000"/>
                <w:sz w:val="18"/>
                <w:szCs w:val="18"/>
                <w:highlight w:val="none"/>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7BEA1">
            <w:pPr>
              <w:jc w:val="center"/>
              <w:rPr>
                <w:rFonts w:hint="eastAsia" w:ascii="仿宋" w:hAnsi="仿宋" w:eastAsia="仿宋" w:cs="仿宋"/>
                <w:i w:val="0"/>
                <w:iCs w:val="0"/>
                <w:color w:val="000000"/>
                <w:sz w:val="18"/>
                <w:szCs w:val="18"/>
                <w:highlight w:val="none"/>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ABB8">
            <w:pPr>
              <w:jc w:val="center"/>
              <w:rPr>
                <w:rFonts w:hint="eastAsia" w:ascii="仿宋" w:hAnsi="仿宋" w:eastAsia="仿宋" w:cs="仿宋"/>
                <w:i w:val="0"/>
                <w:iCs w:val="0"/>
                <w:color w:val="000000"/>
                <w:sz w:val="18"/>
                <w:szCs w:val="18"/>
                <w:highlight w:val="none"/>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8760">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电信普遍服务基站运行稳定性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20E">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r>
              <w:rPr>
                <w:rStyle w:val="13"/>
                <w:rFonts w:hint="eastAsia" w:ascii="仿宋" w:hAnsi="仿宋" w:eastAsia="仿宋" w:cs="仿宋"/>
                <w:sz w:val="18"/>
                <w:szCs w:val="18"/>
                <w:highlight w:val="none"/>
                <w:lang w:val="en-US" w:eastAsia="zh-CN" w:bidi="ar"/>
              </w:rPr>
              <w:t>95%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1E67">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Style w:val="15"/>
                <w:rFonts w:hint="eastAsia" w:ascii="仿宋" w:hAnsi="仿宋" w:eastAsia="仿宋" w:cs="仿宋"/>
                <w:sz w:val="18"/>
                <w:szCs w:val="18"/>
                <w:highlight w:val="none"/>
                <w:lang w:val="en-US" w:eastAsia="zh-CN" w:bidi="ar"/>
              </w:rPr>
              <w:t>95%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34F">
            <w:pPr>
              <w:jc w:val="center"/>
              <w:rPr>
                <w:rFonts w:hint="eastAsia" w:ascii="仿宋" w:hAnsi="仿宋" w:eastAsia="仿宋" w:cs="仿宋"/>
                <w:i w:val="0"/>
                <w:iCs w:val="0"/>
                <w:color w:val="000000"/>
                <w:sz w:val="18"/>
                <w:szCs w:val="18"/>
                <w:highlight w:val="none"/>
                <w:u w:val="none"/>
              </w:rPr>
            </w:pPr>
          </w:p>
        </w:tc>
      </w:tr>
      <w:tr w14:paraId="576B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A94522">
            <w:pPr>
              <w:jc w:val="center"/>
              <w:rPr>
                <w:rFonts w:hint="eastAsia" w:ascii="仿宋" w:hAnsi="仿宋" w:eastAsia="仿宋" w:cs="仿宋"/>
                <w:i w:val="0"/>
                <w:iCs w:val="0"/>
                <w:color w:val="000000"/>
                <w:sz w:val="18"/>
                <w:szCs w:val="18"/>
                <w:highlight w:val="none"/>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7672">
            <w:pPr>
              <w:jc w:val="center"/>
              <w:rPr>
                <w:rFonts w:hint="eastAsia" w:ascii="仿宋" w:hAnsi="仿宋" w:eastAsia="仿宋" w:cs="仿宋"/>
                <w:i w:val="0"/>
                <w:iCs w:val="0"/>
                <w:color w:val="000000"/>
                <w:sz w:val="18"/>
                <w:szCs w:val="18"/>
                <w:highlight w:val="none"/>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D266">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时效指标</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63004">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按期完工率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0B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r>
              <w:rPr>
                <w:rStyle w:val="13"/>
                <w:rFonts w:hint="eastAsia" w:ascii="仿宋" w:hAnsi="仿宋" w:eastAsia="仿宋" w:cs="仿宋"/>
                <w:sz w:val="18"/>
                <w:szCs w:val="18"/>
                <w:highlight w:val="none"/>
                <w:lang w:val="en-US" w:eastAsia="zh-CN" w:bidi="ar"/>
              </w:rPr>
              <w:t>95%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BEC2">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98%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C5B9">
            <w:pPr>
              <w:jc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目前该项目仍处于建设工期内，进度达98%</w:t>
            </w:r>
          </w:p>
        </w:tc>
      </w:tr>
      <w:tr w14:paraId="3D50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8CC7DA">
            <w:pPr>
              <w:jc w:val="center"/>
              <w:rPr>
                <w:rFonts w:hint="eastAsia" w:ascii="仿宋" w:hAnsi="仿宋" w:eastAsia="仿宋" w:cs="仿宋"/>
                <w:i w:val="0"/>
                <w:iCs w:val="0"/>
                <w:color w:val="000000"/>
                <w:sz w:val="18"/>
                <w:szCs w:val="18"/>
                <w:highlight w:val="none"/>
                <w:u w:val="none"/>
              </w:rPr>
            </w:pPr>
          </w:p>
        </w:tc>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3C9D4">
            <w:pPr>
              <w:jc w:val="center"/>
              <w:rPr>
                <w:rFonts w:hint="eastAsia" w:ascii="仿宋" w:hAnsi="仿宋" w:eastAsia="仿宋" w:cs="仿宋"/>
                <w:i w:val="0"/>
                <w:iCs w:val="0"/>
                <w:color w:val="000000"/>
                <w:sz w:val="18"/>
                <w:szCs w:val="18"/>
                <w:highlight w:val="none"/>
                <w:u w:val="none"/>
                <w:lang w:eastAsia="zh-CN"/>
              </w:rPr>
            </w:pPr>
            <w:r>
              <w:rPr>
                <w:rFonts w:hint="eastAsia" w:ascii="仿宋" w:hAnsi="仿宋" w:eastAsia="仿宋" w:cs="仿宋"/>
                <w:i w:val="0"/>
                <w:iCs w:val="0"/>
                <w:color w:val="000000"/>
                <w:sz w:val="18"/>
                <w:szCs w:val="18"/>
                <w:highlight w:val="none"/>
                <w:u w:val="none"/>
                <w:lang w:eastAsia="zh-CN"/>
              </w:rPr>
              <w:t>效益指标</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C876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社会效益</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指标</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01F6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行政村通宽带比例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7335">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1030">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0875">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14:paraId="0857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AE2656">
            <w:pPr>
              <w:jc w:val="center"/>
              <w:rPr>
                <w:rFonts w:hint="eastAsia" w:ascii="仿宋" w:hAnsi="仿宋" w:eastAsia="仿宋" w:cs="仿宋"/>
                <w:i w:val="0"/>
                <w:iCs w:val="0"/>
                <w:color w:val="000000"/>
                <w:sz w:val="18"/>
                <w:szCs w:val="18"/>
                <w:highlight w:val="none"/>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432C">
            <w:pPr>
              <w:jc w:val="center"/>
              <w:rPr>
                <w:rFonts w:hint="eastAsia" w:ascii="仿宋" w:hAnsi="仿宋" w:eastAsia="仿宋" w:cs="仿宋"/>
                <w:i w:val="0"/>
                <w:iCs w:val="0"/>
                <w:color w:val="000000"/>
                <w:sz w:val="18"/>
                <w:szCs w:val="18"/>
                <w:highlight w:val="none"/>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19AF">
            <w:pPr>
              <w:jc w:val="center"/>
              <w:rPr>
                <w:rFonts w:hint="eastAsia" w:ascii="仿宋" w:hAnsi="仿宋" w:eastAsia="仿宋" w:cs="仿宋"/>
                <w:i w:val="0"/>
                <w:iCs w:val="0"/>
                <w:color w:val="000000"/>
                <w:sz w:val="18"/>
                <w:szCs w:val="18"/>
                <w:highlight w:val="none"/>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77C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边疆地区重点场景通宽带比例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E5F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r>
              <w:rPr>
                <w:rStyle w:val="16"/>
                <w:rFonts w:hint="eastAsia" w:ascii="仿宋" w:hAnsi="仿宋" w:eastAsia="仿宋" w:cs="仿宋"/>
                <w:sz w:val="18"/>
                <w:szCs w:val="18"/>
                <w:highlight w:val="none"/>
                <w:lang w:val="en-US" w:eastAsia="zh-CN" w:bidi="ar"/>
              </w:rPr>
              <w:t>95%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474C">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sz w:val="18"/>
                <w:szCs w:val="18"/>
                <w:highlight w:val="none"/>
                <w:u w:val="none"/>
                <w:lang w:val="en-US" w:eastAsia="zh-CN"/>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64C">
            <w:pPr>
              <w:jc w:val="center"/>
              <w:rPr>
                <w:rFonts w:hint="eastAsia" w:ascii="仿宋" w:hAnsi="仿宋" w:eastAsia="仿宋" w:cs="仿宋"/>
                <w:i w:val="0"/>
                <w:iCs w:val="0"/>
                <w:color w:val="000000"/>
                <w:sz w:val="18"/>
                <w:szCs w:val="18"/>
                <w:highlight w:val="none"/>
                <w:u w:val="none"/>
              </w:rPr>
            </w:pPr>
          </w:p>
        </w:tc>
      </w:tr>
      <w:tr w14:paraId="2B62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CB43FA">
            <w:pPr>
              <w:jc w:val="center"/>
              <w:rPr>
                <w:rFonts w:hint="eastAsia" w:ascii="仿宋" w:hAnsi="仿宋" w:eastAsia="仿宋" w:cs="仿宋"/>
                <w:i w:val="0"/>
                <w:iCs w:val="0"/>
                <w:color w:val="000000"/>
                <w:sz w:val="18"/>
                <w:szCs w:val="18"/>
                <w:highlight w:val="none"/>
                <w:u w:val="none"/>
              </w:rPr>
            </w:pPr>
          </w:p>
        </w:tc>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BBA7">
            <w:pPr>
              <w:jc w:val="center"/>
              <w:rPr>
                <w:rFonts w:hint="eastAsia" w:ascii="仿宋" w:hAnsi="仿宋" w:eastAsia="仿宋" w:cs="仿宋"/>
                <w:i w:val="0"/>
                <w:iCs w:val="0"/>
                <w:color w:val="000000"/>
                <w:sz w:val="18"/>
                <w:szCs w:val="18"/>
                <w:highlight w:val="none"/>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69F4">
            <w:pPr>
              <w:jc w:val="center"/>
              <w:rPr>
                <w:rFonts w:hint="eastAsia" w:ascii="仿宋" w:hAnsi="仿宋" w:eastAsia="仿宋" w:cs="仿宋"/>
                <w:i w:val="0"/>
                <w:iCs w:val="0"/>
                <w:color w:val="000000"/>
                <w:sz w:val="18"/>
                <w:szCs w:val="18"/>
                <w:highlight w:val="none"/>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4435E">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eastAsia="zh-CN"/>
              </w:rPr>
              <w:t>电信普遍服务</w:t>
            </w:r>
            <w:r>
              <w:rPr>
                <w:rFonts w:hint="eastAsia" w:ascii="仿宋" w:hAnsi="仿宋" w:eastAsia="仿宋" w:cs="仿宋"/>
                <w:i w:val="0"/>
                <w:iCs w:val="0"/>
                <w:color w:val="000000"/>
                <w:sz w:val="18"/>
                <w:szCs w:val="18"/>
                <w:highlight w:val="none"/>
                <w:u w:val="none"/>
                <w:lang w:val="en-US" w:eastAsia="zh-CN"/>
              </w:rPr>
              <w:t>5G基站网络下载速率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A3C9">
            <w:pPr>
              <w:keepNext w:val="0"/>
              <w:keepLines w:val="0"/>
              <w:widowControl/>
              <w:suppressLineNumbers w:val="0"/>
              <w:jc w:val="center"/>
              <w:textAlignment w:val="center"/>
              <w:rPr>
                <w:rFonts w:hint="eastAsia" w:ascii="仿宋" w:hAnsi="仿宋" w:eastAsia="仿宋" w:cs="仿宋"/>
                <w:i w:val="0"/>
                <w:iCs w:val="0"/>
                <w:color w:val="000000"/>
                <w:sz w:val="18"/>
                <w:szCs w:val="18"/>
                <w:highlight w:val="yellow"/>
                <w:u w:val="none"/>
              </w:rPr>
            </w:pPr>
            <w:r>
              <w:rPr>
                <w:rFonts w:hint="eastAsia" w:ascii="仿宋" w:hAnsi="仿宋" w:eastAsia="仿宋" w:cs="仿宋"/>
                <w:i w:val="0"/>
                <w:iCs w:val="0"/>
                <w:color w:val="000000"/>
                <w:kern w:val="0"/>
                <w:sz w:val="18"/>
                <w:szCs w:val="18"/>
                <w:highlight w:val="none"/>
                <w:u w:val="none"/>
                <w:lang w:val="en-US" w:eastAsia="zh-CN" w:bidi="ar"/>
              </w:rPr>
              <w:t>≥100Mbps</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761">
            <w:pPr>
              <w:keepNext w:val="0"/>
              <w:keepLines w:val="0"/>
              <w:widowControl/>
              <w:suppressLineNumbers w:val="0"/>
              <w:jc w:val="center"/>
              <w:textAlignment w:val="center"/>
              <w:rPr>
                <w:rFonts w:hint="eastAsia" w:ascii="仿宋" w:hAnsi="仿宋" w:eastAsia="仿宋" w:cs="仿宋"/>
                <w:i w:val="0"/>
                <w:iCs w:val="0"/>
                <w:color w:val="000000"/>
                <w:sz w:val="18"/>
                <w:szCs w:val="18"/>
                <w:highlight w:val="yellow"/>
                <w:u w:val="none"/>
              </w:rPr>
            </w:pPr>
            <w:r>
              <w:rPr>
                <w:rFonts w:hint="eastAsia" w:ascii="仿宋" w:hAnsi="仿宋" w:eastAsia="仿宋" w:cs="仿宋"/>
                <w:i w:val="0"/>
                <w:iCs w:val="0"/>
                <w:color w:val="000000"/>
                <w:kern w:val="0"/>
                <w:sz w:val="18"/>
                <w:szCs w:val="18"/>
                <w:highlight w:val="none"/>
                <w:u w:val="none"/>
                <w:lang w:val="en-US" w:eastAsia="zh-CN" w:bidi="ar"/>
              </w:rPr>
              <w:t>已完工点位5G网络平均下载速率=180.27Mbps</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FE3">
            <w:pPr>
              <w:jc w:val="center"/>
              <w:rPr>
                <w:rFonts w:hint="eastAsia" w:ascii="仿宋" w:hAnsi="仿宋" w:eastAsia="仿宋" w:cs="仿宋"/>
                <w:i w:val="0"/>
                <w:iCs w:val="0"/>
                <w:color w:val="000000"/>
                <w:sz w:val="18"/>
                <w:szCs w:val="18"/>
                <w:highlight w:val="none"/>
                <w:u w:val="none"/>
              </w:rPr>
            </w:pPr>
          </w:p>
        </w:tc>
      </w:tr>
      <w:tr w14:paraId="2185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C518D">
            <w:pPr>
              <w:jc w:val="center"/>
              <w:rPr>
                <w:rFonts w:hint="eastAsia" w:ascii="仿宋" w:hAnsi="仿宋" w:eastAsia="仿宋" w:cs="仿宋"/>
                <w:i w:val="0"/>
                <w:iCs w:val="0"/>
                <w:color w:val="000000"/>
                <w:sz w:val="18"/>
                <w:szCs w:val="18"/>
                <w:highlight w:val="none"/>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AE9C">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满意度指标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8051">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服务对象</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满意度指标</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CAC1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rPr>
              <w:t>电信普遍服务基站稳定提供信号服务的用户满意度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EECB">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sz w:val="18"/>
                <w:szCs w:val="18"/>
                <w:highlight w:val="none"/>
                <w:u w:val="none"/>
              </w:rPr>
              <w:t>≥95%</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C66">
            <w:pPr>
              <w:keepNext w:val="0"/>
              <w:keepLines w:val="0"/>
              <w:widowControl/>
              <w:suppressLineNumbers w:val="0"/>
              <w:ind w:firstLine="540" w:firstLineChars="300"/>
              <w:jc w:val="both"/>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95%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0E8">
            <w:pPr>
              <w:jc w:val="center"/>
              <w:rPr>
                <w:rFonts w:hint="eastAsia" w:ascii="仿宋" w:hAnsi="仿宋" w:eastAsia="仿宋" w:cs="仿宋"/>
                <w:i w:val="0"/>
                <w:iCs w:val="0"/>
                <w:color w:val="000000"/>
                <w:sz w:val="18"/>
                <w:szCs w:val="18"/>
                <w:highlight w:val="none"/>
                <w:u w:val="none"/>
              </w:rPr>
            </w:pPr>
          </w:p>
        </w:tc>
      </w:tr>
      <w:tr w14:paraId="4AC0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E22">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说明</w:t>
            </w:r>
          </w:p>
        </w:tc>
        <w:tc>
          <w:tcPr>
            <w:tcW w:w="87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741DB6">
            <w:pPr>
              <w:jc w:val="left"/>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r>
    </w:tbl>
    <w:p w14:paraId="6F500886">
      <w:pPr>
        <w:pStyle w:val="11"/>
        <w:keepNext w:val="0"/>
        <w:keepLines w:val="0"/>
        <w:pageBreakBefore w:val="0"/>
        <w:widowControl w:val="0"/>
        <w:kinsoku/>
        <w:wordWrap w:val="0"/>
        <w:overflowPunct/>
        <w:topLinePunct w:val="0"/>
        <w:autoSpaceDE/>
        <w:autoSpaceDN/>
        <w:bidi w:val="0"/>
        <w:adjustRightInd/>
        <w:snapToGrid/>
        <w:spacing w:line="700" w:lineRule="exact"/>
        <w:jc w:val="both"/>
        <w:textAlignment w:val="baseline"/>
        <w:rPr>
          <w:rFonts w:hint="eastAsia" w:ascii="仿宋" w:hAnsi="仿宋" w:eastAsia="仿宋" w:cs="仿宋"/>
          <w:b w:val="0"/>
          <w:bCs w:val="0"/>
          <w:kern w:val="2"/>
          <w:sz w:val="32"/>
          <w:szCs w:val="40"/>
          <w:lang w:val="en-US" w:eastAsia="zh-CN" w:bidi="ar-SA"/>
        </w:rPr>
      </w:pPr>
    </w:p>
    <w:p w14:paraId="2C39F690">
      <w:pPr>
        <w:pStyle w:val="11"/>
        <w:keepNext w:val="0"/>
        <w:keepLines w:val="0"/>
        <w:pageBreakBefore w:val="0"/>
        <w:widowControl w:val="0"/>
        <w:kinsoku/>
        <w:wordWrap w:val="0"/>
        <w:overflowPunct/>
        <w:topLinePunct w:val="0"/>
        <w:autoSpaceDE/>
        <w:autoSpaceDN/>
        <w:bidi w:val="0"/>
        <w:adjustRightInd/>
        <w:snapToGrid/>
        <w:spacing w:line="700" w:lineRule="exact"/>
        <w:jc w:val="both"/>
        <w:textAlignment w:val="baseline"/>
        <w:rPr>
          <w:rFonts w:hint="eastAsia" w:ascii="仿宋" w:hAnsi="仿宋" w:eastAsia="仿宋" w:cs="仿宋"/>
          <w:b w:val="0"/>
          <w:bCs w:val="0"/>
          <w:kern w:val="2"/>
          <w:sz w:val="32"/>
          <w:szCs w:val="40"/>
          <w:lang w:val="en-US" w:eastAsia="zh-CN" w:bidi="ar-SA"/>
        </w:rPr>
      </w:pPr>
    </w:p>
    <w:p w14:paraId="2922EECD">
      <w:pPr>
        <w:pStyle w:val="11"/>
        <w:keepNext w:val="0"/>
        <w:keepLines w:val="0"/>
        <w:pageBreakBefore w:val="0"/>
        <w:widowControl w:val="0"/>
        <w:kinsoku/>
        <w:wordWrap w:val="0"/>
        <w:overflowPunct/>
        <w:topLinePunct w:val="0"/>
        <w:autoSpaceDE/>
        <w:autoSpaceDN/>
        <w:bidi w:val="0"/>
        <w:adjustRightInd/>
        <w:snapToGrid/>
        <w:spacing w:line="700" w:lineRule="exact"/>
        <w:jc w:val="both"/>
        <w:textAlignment w:val="baseline"/>
        <w:rPr>
          <w:rFonts w:hint="eastAsia" w:ascii="仿宋" w:hAnsi="仿宋" w:eastAsia="仿宋" w:cs="仿宋"/>
          <w:b w:val="0"/>
          <w:bCs w:val="0"/>
          <w:kern w:val="2"/>
          <w:sz w:val="32"/>
          <w:szCs w:val="40"/>
          <w:lang w:val="en-US" w:eastAsia="zh-CN" w:bidi="ar-SA"/>
        </w:rPr>
      </w:pPr>
    </w:p>
    <w:p w14:paraId="2D3A3AE5">
      <w:pPr>
        <w:pStyle w:val="11"/>
        <w:keepNext w:val="0"/>
        <w:keepLines w:val="0"/>
        <w:pageBreakBefore w:val="0"/>
        <w:widowControl w:val="0"/>
        <w:kinsoku/>
        <w:wordWrap w:val="0"/>
        <w:overflowPunct/>
        <w:topLinePunct w:val="0"/>
        <w:autoSpaceDE/>
        <w:autoSpaceDN/>
        <w:bidi w:val="0"/>
        <w:adjustRightInd/>
        <w:snapToGrid/>
        <w:spacing w:line="700" w:lineRule="exact"/>
        <w:jc w:val="both"/>
        <w:textAlignment w:val="baseline"/>
        <w:rPr>
          <w:rFonts w:hint="eastAsia" w:ascii="仿宋" w:hAnsi="仿宋" w:eastAsia="仿宋" w:cs="仿宋"/>
          <w:b w:val="0"/>
          <w:bCs w:val="0"/>
          <w:kern w:val="2"/>
          <w:sz w:val="32"/>
          <w:szCs w:val="40"/>
          <w:lang w:val="en-US" w:eastAsia="zh-CN" w:bidi="ar-SA"/>
        </w:rPr>
      </w:pPr>
    </w:p>
    <w:p w14:paraId="2FD386A7">
      <w:pPr>
        <w:pStyle w:val="11"/>
        <w:keepNext w:val="0"/>
        <w:keepLines w:val="0"/>
        <w:pageBreakBefore w:val="0"/>
        <w:widowControl w:val="0"/>
        <w:kinsoku/>
        <w:wordWrap w:val="0"/>
        <w:overflowPunct/>
        <w:topLinePunct w:val="0"/>
        <w:autoSpaceDE/>
        <w:autoSpaceDN/>
        <w:bidi w:val="0"/>
        <w:adjustRightInd/>
        <w:snapToGrid/>
        <w:spacing w:line="700" w:lineRule="exact"/>
        <w:jc w:val="both"/>
        <w:textAlignment w:val="baseline"/>
        <w:rPr>
          <w:rFonts w:hint="eastAsia" w:ascii="仿宋" w:hAnsi="仿宋" w:eastAsia="仿宋" w:cs="仿宋"/>
          <w:b w:val="0"/>
          <w:bCs w:val="0"/>
          <w:kern w:val="2"/>
          <w:sz w:val="32"/>
          <w:szCs w:val="40"/>
          <w:lang w:val="en-US" w:eastAsia="zh-CN" w:bidi="ar-SA"/>
        </w:rPr>
      </w:pPr>
    </w:p>
    <w:p w14:paraId="641F5536"/>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482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066D">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E2229"/>
    <w:rsid w:val="17BE2229"/>
    <w:rsid w:val="1CE43536"/>
    <w:rsid w:val="33A26B47"/>
    <w:rsid w:val="5F8131DE"/>
    <w:rsid w:val="68237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cs="Microsoft Himalaya"/>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keepNext w:val="0"/>
      <w:keepLines w:val="0"/>
      <w:widowControl w:val="0"/>
      <w:suppressLineNumbers w:val="0"/>
      <w:spacing w:before="0" w:beforeAutospacing="0" w:after="0" w:afterAutospacing="0"/>
      <w:ind w:left="0" w:right="0" w:firstLine="560" w:firstLineChars="200"/>
      <w:jc w:val="both"/>
    </w:pPr>
    <w:rPr>
      <w:rFonts w:hint="default" w:ascii="Calibri" w:hAnsi="Calibri" w:eastAsia="宋体" w:cs="Times New Roman"/>
      <w:kern w:val="2"/>
      <w:sz w:val="28"/>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1"/>
    <w:basedOn w:val="1"/>
    <w:qFormat/>
    <w:uiPriority w:val="0"/>
    <w:pPr>
      <w:adjustRightInd w:val="0"/>
      <w:textAlignment w:val="baseline"/>
    </w:pPr>
    <w:rPr>
      <w:rFonts w:ascii="宋体" w:hAnsi="宋体"/>
      <w:kern w:val="0"/>
      <w:szCs w:val="21"/>
    </w:rPr>
  </w:style>
  <w:style w:type="character" w:customStyle="1" w:styleId="12">
    <w:name w:val="font112"/>
    <w:basedOn w:val="10"/>
    <w:qFormat/>
    <w:uiPriority w:val="0"/>
    <w:rPr>
      <w:rFonts w:hint="eastAsia" w:ascii="宋体" w:hAnsi="宋体" w:eastAsia="宋体" w:cs="宋体"/>
      <w:color w:val="000000"/>
      <w:sz w:val="20"/>
      <w:szCs w:val="20"/>
      <w:u w:val="none"/>
    </w:rPr>
  </w:style>
  <w:style w:type="character" w:customStyle="1" w:styleId="13">
    <w:name w:val="font31"/>
    <w:basedOn w:val="10"/>
    <w:qFormat/>
    <w:uiPriority w:val="0"/>
    <w:rPr>
      <w:rFonts w:hint="eastAsia" w:ascii="宋体" w:hAnsi="宋体" w:eastAsia="宋体" w:cs="宋体"/>
      <w:color w:val="000000"/>
      <w:sz w:val="20"/>
      <w:szCs w:val="20"/>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character" w:customStyle="1" w:styleId="15">
    <w:name w:val="font71"/>
    <w:basedOn w:val="10"/>
    <w:qFormat/>
    <w:uiPriority w:val="0"/>
    <w:rPr>
      <w:rFonts w:hint="default" w:ascii="Arial" w:hAnsi="Arial" w:cs="Arial"/>
      <w:color w:val="000000"/>
      <w:sz w:val="20"/>
      <w:szCs w:val="20"/>
      <w:u w:val="none"/>
    </w:rPr>
  </w:style>
  <w:style w:type="character" w:customStyle="1" w:styleId="16">
    <w:name w:val="font0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2026-03-16T04:10:00Z</dcterms:created>
  <dc:creator>FaZhanChu12</dc:creator>
  <cp:lastModifiedBy>angelsigh</cp:lastModifiedBy>
  <cp:lastPrinted>2026-03-16T04:18:00Z</cp:lastPrinted>
  <dcterms:modified xsi:type="dcterms:W3CDTF">2026-03-18T01:34:33Z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71F16605275C46C4AD5B72B17EAF5456_13</vt:lpwstr>
  </property>
</Properties>
</file>